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hd w:val="clear" w:color="auto" w:fill="3B2360"/>
        <w:spacing w:before="0" w:after="40"/>
      </w:pPr>
      <w:r>
        <w:rPr>
          <w:rFonts w:ascii="Aptos Display" w:hAnsi="Aptos Display"/>
          <w:b/>
          <w:color w:val="FFC222"/>
          <w:sz w:val="20"/>
        </w:rPr>
        <w:t xml:space="preserve">  TEACHING WITH ARTIFICIAL INTELLIGENCE</w:t>
      </w:r>
      <w:r>
        <w:rPr>
          <w:b/>
          <w:color w:val="E8DCB0"/>
          <w:sz w:val="16"/>
        </w:rPr>
        <w:t xml:space="preserve">    ·    SAMPLES · PARTICIPANT</w:t>
      </w:r>
    </w:p>
    <w:p>
      <w:pPr>
        <w:spacing w:before="60" w:after="20"/>
      </w:pPr>
      <w:r>
        <w:rPr>
          <w:rFonts w:ascii="Aptos Display" w:hAnsi="Aptos Display"/>
          <w:b/>
          <w:color w:val="3B2360"/>
          <w:sz w:val="36"/>
        </w:rPr>
        <w:t>Module 1 — Discipline Statement Samples</w:t>
      </w:r>
    </w:p>
    <w:p>
      <w:pPr>
        <w:spacing w:before="0" w:after="120"/>
        <w:pBdr>
          <w:bottom w:val="single" w:sz="24" w:space="1" w:color="FFC222"/>
        </w:pBdr>
      </w:pPr>
    </w:p>
    <w:p>
      <w:pPr>
        <w:spacing w:after="160"/>
      </w:pPr>
      <w:r>
        <w:rPr>
          <w:i/>
          <w:color w:val="7C7B7C"/>
          <w:sz w:val="21"/>
        </w:rPr>
        <w:t>Three realistic Discipline Statements in random order. Score each and predict which is strongest before opening the Steward Key.</w:t>
      </w:r>
    </w:p>
    <w:p>
      <w:pPr>
        <w:spacing w:before="60" w:after="140"/>
        <w:shd w:val="clear" w:color="auto" w:fill="FBE3E3"/>
        <w:pBdr>
          <w:left w:val="single" w:sz="16" w:space="6" w:color="E74645"/>
        </w:pBdr>
      </w:pPr>
      <w:r>
        <w:rPr>
          <w:b/>
          <w:color w:val="E74645"/>
          <w:sz w:val="20"/>
        </w:rPr>
        <w:t xml:space="preserve">How to use this:  </w:t>
      </w:r>
      <w:r>
        <w:rPr>
          <w:sz w:val="20"/>
        </w:rPr>
        <w:t>Quality is not labeled. Score every sample against the rubric and write your prediction BEFORE you open the separate Steward Key document. Judging quality first is the whole point.</w:t>
      </w:r>
    </w:p>
    <w:p>
      <w:pPr>
        <w:pStyle w:val="Heading1"/>
      </w:pPr>
      <w:r>
        <w:t>Sample A</w:t>
      </w:r>
    </w:p>
    <w:p>
      <w:pPr>
        <w:spacing w:after="20"/>
      </w:pPr>
      <w:r>
        <w:rPr>
          <w:b w:val="0"/>
          <w:i w:val="0"/>
          <w:sz w:val="19"/>
        </w:rPr>
        <w:t>Discipline &amp; course context: Biology — Sophomore-level Cell Biology, ~45 students, lab-based.</w:t>
      </w:r>
    </w:p>
    <w:p>
      <w:pPr>
        <w:spacing w:after="60"/>
      </w:pPr>
      <w:r>
        <w:rPr>
          <w:b w:val="0"/>
          <w:i/>
          <w:color w:val="6A4C92"/>
          <w:sz w:val="19"/>
        </w:rPr>
        <w:t>AIAS-relevance hint: Likely Level 1 for independent data interpretation; Level 2-3 for figure drafting.</w:t>
      </w:r>
    </w:p>
    <w:tbl>
      <w:tblPr>
        <w:tblW w:type="auto" w:w="0"/>
        <w:tblLayout w:type="fixed"/>
        <w:tblLook w:firstColumn="1" w:firstRow="1" w:lastColumn="0" w:lastRow="0" w:noHBand="0" w:noVBand="1" w:val="04A0"/>
        <w:tblLayout w:type="fixed"/>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Pr>
      <w:tblGrid>
        <w:gridCol w:w="9360"/>
      </w:tblGrid>
      <w:tr>
        <w:tc>
          <w:tcPr>
            <w:tcW w:type="dxa" w:w="9360"/>
            <w:tcMar>
              <w:top w:w="120" w:type="dxa"/>
              <w:bottom w:w="120" w:type="dxa"/>
              <w:start w:w="160" w:type="dxa"/>
              <w:end w:w="160" w:type="dxa"/>
            </w:tcMar>
            <w:shd w:val="clear" w:color="auto" w:fill="F7F6FA"/>
          </w:tcPr>
          <w:p>
            <w:pPr>
              <w:spacing w:after="0" w:line="283" w:lineRule="auto"/>
            </w:pPr>
            <w:r>
              <w:rPr>
                <w:sz w:val="19"/>
              </w:rPr>
              <w:t>In biology, AI literacy means knowing that a model can summarize a paper or draft a figure caption but cannot run the experiment or decide what the data mean. My students must be able to read a results figure and say what it shows and what it does not show — that interpretive judgment is the thing my course certifies, and a fluent AI summary cannot stand in for it. I will let students use AI to reword dense methods sections at their reading level, because decoding archaic phrasing is not the skill I am assessing. What students must do without AI doing it for them is move from a figure to a defensible claim about the underlying biology, and explain an anomalous result. I am carrying forward one equity concern: not all of my students can afford a paid tool, so any place I allow AI must work on a free tier, and I will provide a worked example for students who prefer not to use it. The risk I worry about most is students trusting a confident but wrong explanation of a mechanism; my response is to require them to check any AI-suggested mechanism against the assigned reading, and the tradeoff is that this adds a verification step that costs class time.</w:t>
            </w:r>
          </w:p>
        </w:tc>
      </w:tr>
    </w:tbl>
    <w:p>
      <w:pPr>
        <w:spacing w:after="40"/>
      </w:pPr>
      <w:r>
        <w:rPr>
          <w:b/>
          <w:i w:val="0"/>
          <w:color w:val="3B2360"/>
          <w:sz w:val="20"/>
        </w:rPr>
        <w:t>Score this sample:</w:t>
      </w:r>
    </w:p>
    <w:tbl>
      <w:tblPr>
        <w:tblW w:type="auto" w:w="0"/>
        <w:tblLayout w:type="fixed"/>
        <w:tblLook w:firstColumn="1" w:firstRow="1" w:lastColumn="0" w:lastRow="0" w:noHBand="0" w:noVBand="1" w:val="04A0"/>
        <w:tblLayout w:type="fixed"/>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Pr>
      <w:tblGrid>
        <w:gridCol w:w="2340"/>
        <w:gridCol w:w="2340"/>
        <w:gridCol w:w="2340"/>
        <w:gridCol w:w="2340"/>
      </w:tblGrid>
      <w:tr>
        <w:tc>
          <w:tcPr>
            <w:tcW w:type="dxa" w:w="3744"/>
            <w:shd w:val="clear" w:color="auto" w:fill="3B2360"/>
            <w:tcMar>
              <w:top w:w="60" w:type="dxa"/>
              <w:bottom w:w="60" w:type="dxa"/>
              <w:start w:w="100" w:type="dxa"/>
              <w:end w:w="100" w:type="dxa"/>
            </w:tcMar>
          </w:tcPr>
          <w:p>
            <w:pPr>
              <w:spacing w:after="0"/>
              <w:jc w:val="left"/>
            </w:pPr>
            <w:r>
              <w:rPr>
                <w:b/>
                <w:color w:val="FFFFFF"/>
                <w:sz w:val="18"/>
              </w:rPr>
              <w:t>Criterion</w:t>
            </w:r>
          </w:p>
        </w:tc>
        <w:tc>
          <w:tcPr>
            <w:tcW w:type="dxa" w:w="1872"/>
            <w:shd w:val="clear" w:color="auto" w:fill="3B2360"/>
            <w:tcMar>
              <w:top w:w="60" w:type="dxa"/>
              <w:bottom w:w="60" w:type="dxa"/>
              <w:start w:w="100" w:type="dxa"/>
              <w:end w:w="100" w:type="dxa"/>
            </w:tcMar>
          </w:tcPr>
          <w:p>
            <w:pPr>
              <w:spacing w:after="0"/>
              <w:jc w:val="center"/>
            </w:pPr>
            <w:r>
              <w:rPr>
                <w:b/>
                <w:color w:val="FFFFFF"/>
                <w:sz w:val="18"/>
              </w:rPr>
              <w:t>Meets</w:t>
            </w:r>
          </w:p>
        </w:tc>
        <w:tc>
          <w:tcPr>
            <w:tcW w:type="dxa" w:w="1872"/>
            <w:shd w:val="clear" w:color="auto" w:fill="3B2360"/>
            <w:tcMar>
              <w:top w:w="60" w:type="dxa"/>
              <w:bottom w:w="60" w:type="dxa"/>
              <w:start w:w="100" w:type="dxa"/>
              <w:end w:w="100" w:type="dxa"/>
            </w:tcMar>
          </w:tcPr>
          <w:p>
            <w:pPr>
              <w:spacing w:after="0"/>
              <w:jc w:val="center"/>
            </w:pPr>
            <w:r>
              <w:rPr>
                <w:b/>
                <w:color w:val="FFFFFF"/>
                <w:sz w:val="18"/>
              </w:rPr>
              <w:t>Adequate</w:t>
            </w:r>
          </w:p>
        </w:tc>
        <w:tc>
          <w:tcPr>
            <w:tcW w:type="dxa" w:w="1872"/>
            <w:shd w:val="clear" w:color="auto" w:fill="3B2360"/>
            <w:tcMar>
              <w:top w:w="60" w:type="dxa"/>
              <w:bottom w:w="60" w:type="dxa"/>
              <w:start w:w="100" w:type="dxa"/>
              <w:end w:w="100" w:type="dxa"/>
            </w:tcMar>
          </w:tcPr>
          <w:p>
            <w:pPr>
              <w:spacing w:after="0"/>
              <w:jc w:val="center"/>
            </w:pPr>
            <w:r>
              <w:rPr>
                <w:b/>
                <w:color w:val="FFFFFF"/>
                <w:sz w:val="18"/>
              </w:rPr>
              <w:t>Needs Revision</w:t>
            </w:r>
          </w:p>
        </w:tc>
      </w:tr>
      <w:tr>
        <w:tc>
          <w:tcPr>
            <w:tcW w:type="dxa" w:w="3744"/>
            <w:tcMar>
              <w:top w:w="60" w:type="dxa"/>
              <w:bottom w:w="60" w:type="dxa"/>
              <w:start w:w="100" w:type="dxa"/>
              <w:end w:w="100" w:type="dxa"/>
            </w:tcMar>
          </w:tcPr>
          <w:p>
            <w:pPr>
              <w:spacing w:after="0"/>
            </w:pPr>
            <w:r>
              <w:rPr>
                <w:b/>
                <w:color w:val="3B2360"/>
                <w:sz w:val="17"/>
              </w:rPr>
              <w:t>Disciplinary specificity</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r>
      <w:tr>
        <w:tc>
          <w:tcPr>
            <w:tcW w:type="dxa" w:w="3744"/>
            <w:tcMar>
              <w:top w:w="60" w:type="dxa"/>
              <w:bottom w:w="60" w:type="dxa"/>
              <w:start w:w="100" w:type="dxa"/>
              <w:end w:w="100" w:type="dxa"/>
            </w:tcMar>
          </w:tcPr>
          <w:p>
            <w:pPr>
              <w:spacing w:after="0"/>
            </w:pPr>
            <w:r>
              <w:rPr>
                <w:b/>
                <w:color w:val="3B2360"/>
                <w:sz w:val="17"/>
              </w:rPr>
              <w:t>AI literacy clarity</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r>
      <w:tr>
        <w:tc>
          <w:tcPr>
            <w:tcW w:type="dxa" w:w="3744"/>
            <w:tcMar>
              <w:top w:w="60" w:type="dxa"/>
              <w:bottom w:w="60" w:type="dxa"/>
              <w:start w:w="100" w:type="dxa"/>
              <w:end w:w="100" w:type="dxa"/>
            </w:tcMar>
          </w:tcPr>
          <w:p>
            <w:pPr>
              <w:spacing w:after="0"/>
            </w:pPr>
            <w:r>
              <w:rPr>
                <w:b/>
                <w:color w:val="3B2360"/>
                <w:sz w:val="17"/>
              </w:rPr>
              <w:t>Liberal arts value</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r>
      <w:tr>
        <w:tc>
          <w:tcPr>
            <w:tcW w:type="dxa" w:w="3744"/>
            <w:tcMar>
              <w:top w:w="60" w:type="dxa"/>
              <w:bottom w:w="60" w:type="dxa"/>
              <w:start w:w="100" w:type="dxa"/>
              <w:end w:w="100" w:type="dxa"/>
            </w:tcMar>
          </w:tcPr>
          <w:p>
            <w:pPr>
              <w:spacing w:after="0"/>
            </w:pPr>
            <w:r>
              <w:rPr>
                <w:b/>
                <w:color w:val="3B2360"/>
                <w:sz w:val="17"/>
              </w:rPr>
              <w:t>Equity awareness</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r>
    </w:tbl>
    <w:p>
      <w:pPr>
        <w:spacing w:after="20"/>
      </w:pPr>
      <w:r>
        <w:rPr>
          <w:b/>
          <w:color w:val="6A4C92"/>
          <w:sz w:val="20"/>
        </w:rPr>
        <w:t>Your note:</w:t>
      </w:r>
    </w:p>
    <w:p>
      <w:pPr>
        <w:spacing w:before="20" w:after="120" w:lineRule="auto" w:line="384"/>
        <w:shd w:val="clear" w:color="auto" w:fill="FCFCFD"/>
        <w:pBdr>
          <w:top w:val="single" w:sz="8" w:space="6" w:color="B9B3C9"/>
          <w:left w:val="single" w:sz="8" w:space="6" w:color="B9B3C9"/>
          <w:bottom w:val="single" w:sz="8" w:space="6" w:color="B9B3C9"/>
          <w:right w:val="single" w:sz="8" w:space="6" w:color="B9B3C9"/>
        </w:pBdr>
      </w:pPr>
      <w:r>
        <w:rPr>
          <w:sz w:val="21"/>
        </w:rPr>
        <w:t xml:space="preserve"> </w:t>
      </w:r>
      <w:r>
        <w:rPr>
          <w:sz w:val="21"/>
        </w:rPr>
        <w:br/>
        <w:t xml:space="preserve"> </w:t>
      </w:r>
    </w:p>
    <w:p>
      <w:pPr>
        <w:spacing w:before="40" w:after="80"/>
        <w:pBdr>
          <w:bottom w:val="single" w:sz="6" w:space="1" w:color="7C7B7C"/>
        </w:pBdr>
      </w:pPr>
    </w:p>
    <w:p>
      <w:pPr>
        <w:pStyle w:val="Heading1"/>
      </w:pPr>
      <w:r>
        <w:t>Sample B</w:t>
      </w:r>
    </w:p>
    <w:p>
      <w:pPr>
        <w:spacing w:after="20"/>
      </w:pPr>
      <w:r>
        <w:rPr>
          <w:b w:val="0"/>
          <w:i w:val="0"/>
          <w:sz w:val="19"/>
        </w:rPr>
        <w:t>Discipline &amp; course context: Literature — Junior seminar in 20th-century poetry, ~18 students.</w:t>
      </w:r>
    </w:p>
    <w:p>
      <w:pPr>
        <w:spacing w:after="60"/>
      </w:pPr>
      <w:r>
        <w:rPr>
          <w:b w:val="0"/>
          <w:i/>
          <w:color w:val="6A4C92"/>
          <w:sz w:val="19"/>
        </w:rPr>
        <w:t>AIAS-relevance hint: Likely Level 1 for the interpretive core; Level 5 for a unit critiquing AI-generated readings.</w:t>
      </w:r>
    </w:p>
    <w:tbl>
      <w:tblPr>
        <w:tblW w:type="auto" w:w="0"/>
        <w:tblLayout w:type="fixed"/>
        <w:tblLook w:firstColumn="1" w:firstRow="1" w:lastColumn="0" w:lastRow="0" w:noHBand="0" w:noVBand="1" w:val="04A0"/>
        <w:tblLayout w:type="fixed"/>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Pr>
      <w:tblGrid>
        <w:gridCol w:w="9360"/>
      </w:tblGrid>
      <w:tr>
        <w:tc>
          <w:tcPr>
            <w:tcW w:type="dxa" w:w="9360"/>
            <w:tcMar>
              <w:top w:w="120" w:type="dxa"/>
              <w:bottom w:w="120" w:type="dxa"/>
              <w:start w:w="160" w:type="dxa"/>
              <w:end w:w="160" w:type="dxa"/>
            </w:tcMar>
            <w:shd w:val="clear" w:color="auto" w:fill="F7F6FA"/>
          </w:tcPr>
          <w:p>
            <w:pPr>
              <w:spacing w:after="0" w:line="283" w:lineRule="auto"/>
            </w:pPr>
            <w:r>
              <w:rPr>
                <w:sz w:val="19"/>
              </w:rPr>
              <w:t>In literary study, AI literacy means knowing what a language model does to a poem — and deciding, case by case, whether it belongs in the room. The capability my seminar certifies is discrimination between rival readings: holding two interpretations of the same poem against the words on the page and judging which one the evidence better supports. Technical literacy here means understanding that a model predicts plausible text and will, with complete confidence, invent a critic or a citation. Applied literacy means putting it to honest work, such as glossing an unfamiliar allusion. Critical literacy means noticing that fluent AI readings tend to iron out exactly the ambiguity a poem is built on, and choosing, for that reason, to form one's own interpretation first. What students must do without a model is build and defend a contestable claim from textual evidence; once a claim has been generated for them, the struggle that develops the skill has already been skipped. I will allow AI for translating a difficult passage or explaining a poetic form at a student's reading level, because decoding archaic phrasing is a barrier, not the discipline — and several of my students are multilingual. The equity concern I carry forward is that confident students with paid tools could quietly outpace cautious ones, so no graded use may require payment, and the interpretive work happens in a setting I can see. The risk I most want to manage is fluency passing for insight; my response is to require the claim plus the counter-reading the student rejected, and the tradeoff is that this asks more writing of students who already write slowly.</w:t>
            </w:r>
          </w:p>
        </w:tc>
      </w:tr>
    </w:tbl>
    <w:p>
      <w:pPr>
        <w:spacing w:after="40"/>
      </w:pPr>
      <w:r>
        <w:rPr>
          <w:b/>
          <w:i w:val="0"/>
          <w:color w:val="3B2360"/>
          <w:sz w:val="20"/>
        </w:rPr>
        <w:t>Score this sample:</w:t>
      </w:r>
    </w:p>
    <w:tbl>
      <w:tblPr>
        <w:tblW w:type="auto" w:w="0"/>
        <w:tblLayout w:type="fixed"/>
        <w:tblLook w:firstColumn="1" w:firstRow="1" w:lastColumn="0" w:lastRow="0" w:noHBand="0" w:noVBand="1" w:val="04A0"/>
        <w:tblLayout w:type="fixed"/>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Pr>
      <w:tblGrid>
        <w:gridCol w:w="2340"/>
        <w:gridCol w:w="2340"/>
        <w:gridCol w:w="2340"/>
        <w:gridCol w:w="2340"/>
      </w:tblGrid>
      <w:tr>
        <w:tc>
          <w:tcPr>
            <w:tcW w:type="dxa" w:w="3744"/>
            <w:shd w:val="clear" w:color="auto" w:fill="3B2360"/>
            <w:tcMar>
              <w:top w:w="60" w:type="dxa"/>
              <w:bottom w:w="60" w:type="dxa"/>
              <w:start w:w="100" w:type="dxa"/>
              <w:end w:w="100" w:type="dxa"/>
            </w:tcMar>
          </w:tcPr>
          <w:p>
            <w:pPr>
              <w:spacing w:after="0"/>
              <w:jc w:val="left"/>
            </w:pPr>
            <w:r>
              <w:rPr>
                <w:b/>
                <w:color w:val="FFFFFF"/>
                <w:sz w:val="18"/>
              </w:rPr>
              <w:t>Criterion</w:t>
            </w:r>
          </w:p>
        </w:tc>
        <w:tc>
          <w:tcPr>
            <w:tcW w:type="dxa" w:w="1872"/>
            <w:shd w:val="clear" w:color="auto" w:fill="3B2360"/>
            <w:tcMar>
              <w:top w:w="60" w:type="dxa"/>
              <w:bottom w:w="60" w:type="dxa"/>
              <w:start w:w="100" w:type="dxa"/>
              <w:end w:w="100" w:type="dxa"/>
            </w:tcMar>
          </w:tcPr>
          <w:p>
            <w:pPr>
              <w:spacing w:after="0"/>
              <w:jc w:val="center"/>
            </w:pPr>
            <w:r>
              <w:rPr>
                <w:b/>
                <w:color w:val="FFFFFF"/>
                <w:sz w:val="18"/>
              </w:rPr>
              <w:t>Meets</w:t>
            </w:r>
          </w:p>
        </w:tc>
        <w:tc>
          <w:tcPr>
            <w:tcW w:type="dxa" w:w="1872"/>
            <w:shd w:val="clear" w:color="auto" w:fill="3B2360"/>
            <w:tcMar>
              <w:top w:w="60" w:type="dxa"/>
              <w:bottom w:w="60" w:type="dxa"/>
              <w:start w:w="100" w:type="dxa"/>
              <w:end w:w="100" w:type="dxa"/>
            </w:tcMar>
          </w:tcPr>
          <w:p>
            <w:pPr>
              <w:spacing w:after="0"/>
              <w:jc w:val="center"/>
            </w:pPr>
            <w:r>
              <w:rPr>
                <w:b/>
                <w:color w:val="FFFFFF"/>
                <w:sz w:val="18"/>
              </w:rPr>
              <w:t>Adequate</w:t>
            </w:r>
          </w:p>
        </w:tc>
        <w:tc>
          <w:tcPr>
            <w:tcW w:type="dxa" w:w="1872"/>
            <w:shd w:val="clear" w:color="auto" w:fill="3B2360"/>
            <w:tcMar>
              <w:top w:w="60" w:type="dxa"/>
              <w:bottom w:w="60" w:type="dxa"/>
              <w:start w:w="100" w:type="dxa"/>
              <w:end w:w="100" w:type="dxa"/>
            </w:tcMar>
          </w:tcPr>
          <w:p>
            <w:pPr>
              <w:spacing w:after="0"/>
              <w:jc w:val="center"/>
            </w:pPr>
            <w:r>
              <w:rPr>
                <w:b/>
                <w:color w:val="FFFFFF"/>
                <w:sz w:val="18"/>
              </w:rPr>
              <w:t>Needs Revision</w:t>
            </w:r>
          </w:p>
        </w:tc>
      </w:tr>
      <w:tr>
        <w:tc>
          <w:tcPr>
            <w:tcW w:type="dxa" w:w="3744"/>
            <w:tcMar>
              <w:top w:w="60" w:type="dxa"/>
              <w:bottom w:w="60" w:type="dxa"/>
              <w:start w:w="100" w:type="dxa"/>
              <w:end w:w="100" w:type="dxa"/>
            </w:tcMar>
          </w:tcPr>
          <w:p>
            <w:pPr>
              <w:spacing w:after="0"/>
            </w:pPr>
            <w:r>
              <w:rPr>
                <w:b/>
                <w:color w:val="3B2360"/>
                <w:sz w:val="17"/>
              </w:rPr>
              <w:t>Disciplinary specificity</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r>
      <w:tr>
        <w:tc>
          <w:tcPr>
            <w:tcW w:type="dxa" w:w="3744"/>
            <w:tcMar>
              <w:top w:w="60" w:type="dxa"/>
              <w:bottom w:w="60" w:type="dxa"/>
              <w:start w:w="100" w:type="dxa"/>
              <w:end w:w="100" w:type="dxa"/>
            </w:tcMar>
          </w:tcPr>
          <w:p>
            <w:pPr>
              <w:spacing w:after="0"/>
            </w:pPr>
            <w:r>
              <w:rPr>
                <w:b/>
                <w:color w:val="3B2360"/>
                <w:sz w:val="17"/>
              </w:rPr>
              <w:t>AI literacy clarity</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r>
      <w:tr>
        <w:tc>
          <w:tcPr>
            <w:tcW w:type="dxa" w:w="3744"/>
            <w:tcMar>
              <w:top w:w="60" w:type="dxa"/>
              <w:bottom w:w="60" w:type="dxa"/>
              <w:start w:w="100" w:type="dxa"/>
              <w:end w:w="100" w:type="dxa"/>
            </w:tcMar>
          </w:tcPr>
          <w:p>
            <w:pPr>
              <w:spacing w:after="0"/>
            </w:pPr>
            <w:r>
              <w:rPr>
                <w:b/>
                <w:color w:val="3B2360"/>
                <w:sz w:val="17"/>
              </w:rPr>
              <w:t>Liberal arts value</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r>
      <w:tr>
        <w:tc>
          <w:tcPr>
            <w:tcW w:type="dxa" w:w="3744"/>
            <w:tcMar>
              <w:top w:w="60" w:type="dxa"/>
              <w:bottom w:w="60" w:type="dxa"/>
              <w:start w:w="100" w:type="dxa"/>
              <w:end w:w="100" w:type="dxa"/>
            </w:tcMar>
          </w:tcPr>
          <w:p>
            <w:pPr>
              <w:spacing w:after="0"/>
            </w:pPr>
            <w:r>
              <w:rPr>
                <w:b/>
                <w:color w:val="3B2360"/>
                <w:sz w:val="17"/>
              </w:rPr>
              <w:t>Equity awareness</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r>
    </w:tbl>
    <w:p>
      <w:pPr>
        <w:spacing w:after="20"/>
      </w:pPr>
      <w:r>
        <w:rPr>
          <w:b/>
          <w:color w:val="6A4C92"/>
          <w:sz w:val="20"/>
        </w:rPr>
        <w:t>Your note:</w:t>
      </w:r>
    </w:p>
    <w:p>
      <w:pPr>
        <w:spacing w:before="20" w:after="120" w:lineRule="auto" w:line="384"/>
        <w:shd w:val="clear" w:color="auto" w:fill="FCFCFD"/>
        <w:pBdr>
          <w:top w:val="single" w:sz="8" w:space="6" w:color="B9B3C9"/>
          <w:left w:val="single" w:sz="8" w:space="6" w:color="B9B3C9"/>
          <w:bottom w:val="single" w:sz="8" w:space="6" w:color="B9B3C9"/>
          <w:right w:val="single" w:sz="8" w:space="6" w:color="B9B3C9"/>
        </w:pBdr>
      </w:pPr>
      <w:r>
        <w:rPr>
          <w:sz w:val="21"/>
        </w:rPr>
        <w:t xml:space="preserve"> </w:t>
      </w:r>
      <w:r>
        <w:rPr>
          <w:sz w:val="21"/>
        </w:rPr>
        <w:br/>
        <w:t xml:space="preserve"> </w:t>
      </w:r>
    </w:p>
    <w:p>
      <w:pPr>
        <w:spacing w:before="40" w:after="80"/>
        <w:pBdr>
          <w:bottom w:val="single" w:sz="6" w:space="1" w:color="7C7B7C"/>
        </w:pBdr>
      </w:pPr>
    </w:p>
    <w:p>
      <w:pPr>
        <w:pStyle w:val="Heading1"/>
      </w:pPr>
      <w:r>
        <w:t>Sample C</w:t>
      </w:r>
    </w:p>
    <w:p>
      <w:pPr>
        <w:spacing w:after="20"/>
      </w:pPr>
      <w:r>
        <w:rPr>
          <w:b w:val="0"/>
          <w:i w:val="0"/>
          <w:sz w:val="19"/>
        </w:rPr>
        <w:t>Discipline &amp; course context: Nursing — Junior-level Nursing Ethics, ~30 students.</w:t>
      </w:r>
    </w:p>
    <w:p>
      <w:pPr>
        <w:spacing w:after="60"/>
      </w:pPr>
      <w:r>
        <w:rPr>
          <w:b w:val="0"/>
          <w:i/>
          <w:color w:val="6A4C92"/>
          <w:sz w:val="19"/>
        </w:rPr>
        <w:t>AIAS-relevance hint: Likely Level 1-2 for the recommendation; documentation and verification are decisive.</w:t>
      </w:r>
    </w:p>
    <w:tbl>
      <w:tblPr>
        <w:tblW w:type="auto" w:w="0"/>
        <w:tblLayout w:type="fixed"/>
        <w:tblLook w:firstColumn="1" w:firstRow="1" w:lastColumn="0" w:lastRow="0" w:noHBand="0" w:noVBand="1" w:val="04A0"/>
        <w:tblLayout w:type="fixed"/>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Pr>
      <w:tblGrid>
        <w:gridCol w:w="9360"/>
      </w:tblGrid>
      <w:tr>
        <w:tc>
          <w:tcPr>
            <w:tcW w:type="dxa" w:w="9360"/>
            <w:tcMar>
              <w:top w:w="120" w:type="dxa"/>
              <w:bottom w:w="120" w:type="dxa"/>
              <w:start w:w="160" w:type="dxa"/>
              <w:end w:w="160" w:type="dxa"/>
            </w:tcMar>
            <w:shd w:val="clear" w:color="auto" w:fill="F7F6FA"/>
          </w:tcPr>
          <w:p>
            <w:pPr>
              <w:spacing w:after="0" w:line="283" w:lineRule="auto"/>
            </w:pPr>
            <w:r>
              <w:rPr>
                <w:sz w:val="19"/>
              </w:rPr>
              <w:t>AI literacy is an important 21st-century skill, and nursing students need to be prepared to use AI responsibly in their future careers. My course will teach students to think critically about AI and use it ethically. Nurses must have strong critical thinking skills, and AI can be a helpful tool for learning as long as students use it appropriately and do not become too dependent on it. I want my students to understand how AI works and to be good digital citizens. Equity is also important, and I will make sure all students have a fair chance to succeed. Overall, AI is changing healthcare, and it is my responsibility to prepare students for that future while maintaining academic integrity in my course.</w:t>
            </w:r>
          </w:p>
        </w:tc>
      </w:tr>
    </w:tbl>
    <w:p>
      <w:pPr>
        <w:spacing w:after="40"/>
      </w:pPr>
      <w:r>
        <w:rPr>
          <w:b/>
          <w:i w:val="0"/>
          <w:color w:val="3B2360"/>
          <w:sz w:val="20"/>
        </w:rPr>
        <w:t>Score this sample:</w:t>
      </w:r>
    </w:p>
    <w:tbl>
      <w:tblPr>
        <w:tblW w:type="auto" w:w="0"/>
        <w:tblLayout w:type="fixed"/>
        <w:tblLook w:firstColumn="1" w:firstRow="1" w:lastColumn="0" w:lastRow="0" w:noHBand="0" w:noVBand="1" w:val="04A0"/>
        <w:tblLayout w:type="fixed"/>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Pr>
      <w:tblGrid>
        <w:gridCol w:w="2340"/>
        <w:gridCol w:w="2340"/>
        <w:gridCol w:w="2340"/>
        <w:gridCol w:w="2340"/>
      </w:tblGrid>
      <w:tr>
        <w:tc>
          <w:tcPr>
            <w:tcW w:type="dxa" w:w="3744"/>
            <w:shd w:val="clear" w:color="auto" w:fill="3B2360"/>
            <w:tcMar>
              <w:top w:w="60" w:type="dxa"/>
              <w:bottom w:w="60" w:type="dxa"/>
              <w:start w:w="100" w:type="dxa"/>
              <w:end w:w="100" w:type="dxa"/>
            </w:tcMar>
          </w:tcPr>
          <w:p>
            <w:pPr>
              <w:spacing w:after="0"/>
              <w:jc w:val="left"/>
            </w:pPr>
            <w:r>
              <w:rPr>
                <w:b/>
                <w:color w:val="FFFFFF"/>
                <w:sz w:val="18"/>
              </w:rPr>
              <w:t>Criterion</w:t>
            </w:r>
          </w:p>
        </w:tc>
        <w:tc>
          <w:tcPr>
            <w:tcW w:type="dxa" w:w="1872"/>
            <w:shd w:val="clear" w:color="auto" w:fill="3B2360"/>
            <w:tcMar>
              <w:top w:w="60" w:type="dxa"/>
              <w:bottom w:w="60" w:type="dxa"/>
              <w:start w:w="100" w:type="dxa"/>
              <w:end w:w="100" w:type="dxa"/>
            </w:tcMar>
          </w:tcPr>
          <w:p>
            <w:pPr>
              <w:spacing w:after="0"/>
              <w:jc w:val="center"/>
            </w:pPr>
            <w:r>
              <w:rPr>
                <w:b/>
                <w:color w:val="FFFFFF"/>
                <w:sz w:val="18"/>
              </w:rPr>
              <w:t>Meets</w:t>
            </w:r>
          </w:p>
        </w:tc>
        <w:tc>
          <w:tcPr>
            <w:tcW w:type="dxa" w:w="1872"/>
            <w:shd w:val="clear" w:color="auto" w:fill="3B2360"/>
            <w:tcMar>
              <w:top w:w="60" w:type="dxa"/>
              <w:bottom w:w="60" w:type="dxa"/>
              <w:start w:w="100" w:type="dxa"/>
              <w:end w:w="100" w:type="dxa"/>
            </w:tcMar>
          </w:tcPr>
          <w:p>
            <w:pPr>
              <w:spacing w:after="0"/>
              <w:jc w:val="center"/>
            </w:pPr>
            <w:r>
              <w:rPr>
                <w:b/>
                <w:color w:val="FFFFFF"/>
                <w:sz w:val="18"/>
              </w:rPr>
              <w:t>Adequate</w:t>
            </w:r>
          </w:p>
        </w:tc>
        <w:tc>
          <w:tcPr>
            <w:tcW w:type="dxa" w:w="1872"/>
            <w:shd w:val="clear" w:color="auto" w:fill="3B2360"/>
            <w:tcMar>
              <w:top w:w="60" w:type="dxa"/>
              <w:bottom w:w="60" w:type="dxa"/>
              <w:start w:w="100" w:type="dxa"/>
              <w:end w:w="100" w:type="dxa"/>
            </w:tcMar>
          </w:tcPr>
          <w:p>
            <w:pPr>
              <w:spacing w:after="0"/>
              <w:jc w:val="center"/>
            </w:pPr>
            <w:r>
              <w:rPr>
                <w:b/>
                <w:color w:val="FFFFFF"/>
                <w:sz w:val="18"/>
              </w:rPr>
              <w:t>Needs Revision</w:t>
            </w:r>
          </w:p>
        </w:tc>
      </w:tr>
      <w:tr>
        <w:tc>
          <w:tcPr>
            <w:tcW w:type="dxa" w:w="3744"/>
            <w:tcMar>
              <w:top w:w="60" w:type="dxa"/>
              <w:bottom w:w="60" w:type="dxa"/>
              <w:start w:w="100" w:type="dxa"/>
              <w:end w:w="100" w:type="dxa"/>
            </w:tcMar>
          </w:tcPr>
          <w:p>
            <w:pPr>
              <w:spacing w:after="0"/>
            </w:pPr>
            <w:r>
              <w:rPr>
                <w:b/>
                <w:color w:val="3B2360"/>
                <w:sz w:val="17"/>
              </w:rPr>
              <w:t>Disciplinary specificity</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r>
      <w:tr>
        <w:tc>
          <w:tcPr>
            <w:tcW w:type="dxa" w:w="3744"/>
            <w:tcMar>
              <w:top w:w="60" w:type="dxa"/>
              <w:bottom w:w="60" w:type="dxa"/>
              <w:start w:w="100" w:type="dxa"/>
              <w:end w:w="100" w:type="dxa"/>
            </w:tcMar>
          </w:tcPr>
          <w:p>
            <w:pPr>
              <w:spacing w:after="0"/>
            </w:pPr>
            <w:r>
              <w:rPr>
                <w:b/>
                <w:color w:val="3B2360"/>
                <w:sz w:val="17"/>
              </w:rPr>
              <w:t>AI literacy clarity</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r>
      <w:tr>
        <w:tc>
          <w:tcPr>
            <w:tcW w:type="dxa" w:w="3744"/>
            <w:tcMar>
              <w:top w:w="60" w:type="dxa"/>
              <w:bottom w:w="60" w:type="dxa"/>
              <w:start w:w="100" w:type="dxa"/>
              <w:end w:w="100" w:type="dxa"/>
            </w:tcMar>
          </w:tcPr>
          <w:p>
            <w:pPr>
              <w:spacing w:after="0"/>
            </w:pPr>
            <w:r>
              <w:rPr>
                <w:b/>
                <w:color w:val="3B2360"/>
                <w:sz w:val="17"/>
              </w:rPr>
              <w:t>Liberal arts value</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r>
      <w:tr>
        <w:tc>
          <w:tcPr>
            <w:tcW w:type="dxa" w:w="3744"/>
            <w:tcMar>
              <w:top w:w="60" w:type="dxa"/>
              <w:bottom w:w="60" w:type="dxa"/>
              <w:start w:w="100" w:type="dxa"/>
              <w:end w:w="100" w:type="dxa"/>
            </w:tcMar>
          </w:tcPr>
          <w:p>
            <w:pPr>
              <w:spacing w:after="0"/>
            </w:pPr>
            <w:r>
              <w:rPr>
                <w:b/>
                <w:color w:val="3B2360"/>
                <w:sz w:val="17"/>
              </w:rPr>
              <w:t>Equity awareness</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c>
          <w:tcPr>
            <w:tcW w:type="dxa" w:w="1872"/>
            <w:tcMar>
              <w:top w:w="60" w:type="dxa"/>
              <w:bottom w:w="60" w:type="dxa"/>
              <w:start w:w="100" w:type="dxa"/>
              <w:end w:w="100" w:type="dxa"/>
            </w:tcMar>
          </w:tcPr>
          <w:p>
            <w:pPr>
              <w:spacing w:after="0"/>
              <w:jc w:val="center"/>
            </w:pPr>
            <w:r>
              <w:rPr>
                <w:sz w:val="22"/>
              </w:rPr>
              <w:t>☐</w:t>
            </w:r>
          </w:p>
        </w:tc>
      </w:tr>
    </w:tbl>
    <w:p>
      <w:pPr>
        <w:spacing w:after="20"/>
      </w:pPr>
      <w:r>
        <w:rPr>
          <w:b/>
          <w:color w:val="6A4C92"/>
          <w:sz w:val="20"/>
        </w:rPr>
        <w:t>Your note:</w:t>
      </w:r>
    </w:p>
    <w:p>
      <w:pPr>
        <w:spacing w:before="20" w:after="120" w:lineRule="auto" w:line="384"/>
        <w:shd w:val="clear" w:color="auto" w:fill="FCFCFD"/>
        <w:pBdr>
          <w:top w:val="single" w:sz="8" w:space="6" w:color="B9B3C9"/>
          <w:left w:val="single" w:sz="8" w:space="6" w:color="B9B3C9"/>
          <w:bottom w:val="single" w:sz="8" w:space="6" w:color="B9B3C9"/>
          <w:right w:val="single" w:sz="8" w:space="6" w:color="B9B3C9"/>
        </w:pBdr>
      </w:pPr>
      <w:r>
        <w:rPr>
          <w:sz w:val="21"/>
        </w:rPr>
        <w:t xml:space="preserve"> </w:t>
      </w:r>
      <w:r>
        <w:rPr>
          <w:sz w:val="21"/>
        </w:rPr>
        <w:br/>
        <w:t xml:space="preserve"> </w:t>
      </w:r>
    </w:p>
    <w:p>
      <w:pPr>
        <w:pageBreakBefore/>
        <w:pStyle w:val="Heading1"/>
      </w:pPr>
      <w:r>
        <w:t>Prediction &amp; revision (before opening the Steward Key)</w:t>
      </w:r>
    </w:p>
    <w:p>
      <w:pPr>
        <w:spacing w:after="20"/>
      </w:pPr>
      <w:r>
        <w:rPr>
          <w:b/>
          <w:color w:val="6A4C92"/>
          <w:sz w:val="20"/>
        </w:rPr>
        <w:t>Which sample is strongest, and why?</w:t>
      </w:r>
    </w:p>
    <w:p>
      <w:pPr>
        <w:spacing w:before="20" w:after="120" w:lineRule="auto" w:line="384"/>
        <w:shd w:val="clear" w:color="auto" w:fill="FCFCFD"/>
        <w:pBdr>
          <w:top w:val="single" w:sz="8" w:space="6" w:color="B9B3C9"/>
          <w:left w:val="single" w:sz="8" w:space="6" w:color="B9B3C9"/>
          <w:bottom w:val="single" w:sz="8" w:space="6" w:color="B9B3C9"/>
          <w:right w:val="single" w:sz="8" w:space="6" w:color="B9B3C9"/>
        </w:pBdr>
      </w:pPr>
      <w:r>
        <w:rPr>
          <w:sz w:val="21"/>
        </w:rPr>
        <w:t xml:space="preserve"> </w:t>
      </w:r>
      <w:r>
        <w:rPr>
          <w:sz w:val="21"/>
        </w:rPr>
        <w:br/>
        <w:t xml:space="preserve"> </w:t>
      </w:r>
      <w:r>
        <w:rPr>
          <w:sz w:val="21"/>
        </w:rPr>
        <w:br/>
        <w:t xml:space="preserve"> </w:t>
      </w:r>
    </w:p>
    <w:p>
      <w:pPr>
        <w:spacing w:after="20"/>
      </w:pPr>
      <w:r>
        <w:rPr>
          <w:b/>
          <w:color w:val="6A4C92"/>
          <w:sz w:val="20"/>
        </w:rPr>
        <w:t>One move I will borrow and apply to my own work:</w:t>
      </w:r>
    </w:p>
    <w:p>
      <w:pPr>
        <w:spacing w:before="20" w:after="120" w:lineRule="auto" w:line="384"/>
        <w:shd w:val="clear" w:color="auto" w:fill="FCFCFD"/>
        <w:pBdr>
          <w:top w:val="single" w:sz="8" w:space="6" w:color="B9B3C9"/>
          <w:left w:val="single" w:sz="8" w:space="6" w:color="B9B3C9"/>
          <w:bottom w:val="single" w:sz="8" w:space="6" w:color="B9B3C9"/>
          <w:right w:val="single" w:sz="8" w:space="6" w:color="B9B3C9"/>
        </w:pBdr>
      </w:pPr>
      <w:r>
        <w:rPr>
          <w:sz w:val="21"/>
        </w:rPr>
        <w:t xml:space="preserve"> </w:t>
      </w:r>
      <w:r>
        <w:rPr>
          <w:sz w:val="21"/>
        </w:rPr>
        <w:br/>
        <w:t xml:space="preserve"> </w:t>
      </w:r>
      <w:r>
        <w:rPr>
          <w:sz w:val="21"/>
        </w:rPr>
        <w:br/>
        <w:t xml:space="preserve"> </w:t>
      </w:r>
    </w:p>
    <w:sectPr w:rsidR="00FC693F" w:rsidRPr="0006063C" w:rsidSect="00034616">
      <w:footerReference w:type="default" r:id="rId9"/>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jc w:val="left"/>
    </w:pPr>
    <w:r/>
    <w:r>
      <w:rPr>
        <w:rFonts w:ascii="Aptos" w:hAnsi="Aptos"/>
        <w:color w:val="7C7B7C"/>
        <w:sz w:val="15"/>
      </w:rPr>
      <w:t>Teaching with AI · Module 1 · Discipline Statement Samples (Participant)</w:t>
    </w:r>
    <w:r>
      <w:rPr>
        <w:sz w:val="15"/>
      </w:rPr>
      <w:tab/>
    </w:r>
    <w:r>
      <w:rPr>
        <w:color w:val="7C7B7C"/>
        <w:sz w:val="15"/>
      </w:rPr>
      <w:fldChar w:fldCharType="begin"/>
      <w:instrText xml:space="preserve"> PAGE </w:instrText>
      <w:fldChar w:fldCharType="end"/>
    </w:r>
    <w:r>
      <w:rPr>
        <w:color w:val="7C7B7C"/>
        <w:sz w:val="15"/>
      </w:rPr>
      <w:t xml:space="preserve"> of </w:t>
    </w:r>
    <w:r>
      <w:rPr>
        <w:color w:val="7C7B7C"/>
        <w:sz w:val="15"/>
      </w:rPr>
      <w:fldChar w:fldCharType="begin"/>
      <w:instrText xml:space="preserve"> NUMPAGES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s="Aptos"/>
      <w:color w:val="1A1A1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Aptos Display" w:hAnsi="Aptos Display"/>
      <w:b/>
      <w:bCs/>
      <w:color w:val="3B2360"/>
      <w:sz w:val="34"/>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ascii="Aptos Display" w:hAnsi="Aptos Display"/>
      <w:b/>
      <w:bCs/>
      <w:color w:val="3B2360"/>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6A4C9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John</dc:creator>
  <cp:keywords/>
  <cp:lastModifiedBy/>
  <cp:revision>1</cp:revision>
  <dcterms:created xsi:type="dcterms:W3CDTF">2013-12-23T23:15:00Z</dcterms:created>
  <dcterms:modified xsi:type="dcterms:W3CDTF">2013-12-23T23:15:00Z</dcterms:modified>
  <cp:category/>
</cp:coreProperties>
</file>