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hd w:val="clear" w:color="auto" w:fill="3B2360"/>
        <w:spacing w:before="0" w:after="40"/>
      </w:pPr>
      <w:r>
        <w:rPr>
          <w:rFonts w:ascii="Aptos Display" w:hAnsi="Aptos Display"/>
          <w:b/>
          <w:color w:val="FFC222"/>
          <w:sz w:val="20"/>
        </w:rPr>
        <w:t xml:space="preserve">  TEACHING WITH ARTIFICIAL INTELLIGENCE</w:t>
      </w:r>
      <w:r>
        <w:rPr>
          <w:b/>
          <w:color w:val="E8DCB0"/>
          <w:sz w:val="16"/>
        </w:rPr>
        <w:t xml:space="preserve">    ·    SAMPLES · STEWARD KEY</w:t>
      </w:r>
    </w:p>
    <w:p>
      <w:pPr>
        <w:spacing w:before="60" w:after="20"/>
      </w:pPr>
      <w:r>
        <w:rPr>
          <w:rFonts w:ascii="Aptos Display" w:hAnsi="Aptos Display"/>
          <w:b/>
          <w:color w:val="3B2360"/>
          <w:sz w:val="36"/>
        </w:rPr>
        <w:t>Module 1 — Discipline Statement Samples · STEWARD KEY</w:t>
      </w:r>
    </w:p>
    <w:p>
      <w:pPr>
        <w:spacing w:before="0" w:after="120"/>
        <w:pBdr>
          <w:bottom w:val="single" w:sz="24" w:space="1" w:color="FFC222"/>
        </w:pBdr>
      </w:pPr>
    </w:p>
    <w:p>
      <w:pPr>
        <w:spacing w:after="160"/>
      </w:pPr>
      <w:r>
        <w:rPr>
          <w:i/>
          <w:color w:val="7C7B7C"/>
          <w:sz w:val="21"/>
        </w:rPr>
        <w:t>Model evaluation. Withheld from participants until they have scored and predicted. Distribution: one strong, one weak, one mixed.</w:t>
      </w:r>
    </w:p>
    <w:p>
      <w:pPr>
        <w:pStyle w:val="Heading1"/>
      </w:pPr>
      <w:r>
        <w:t>Sample A — Biology</w:t>
      </w:r>
    </w:p>
    <w:p>
      <w:pPr>
        <w:spacing w:before="60" w:after="140"/>
        <w:shd w:val="clear" w:color="auto" w:fill="FFF4D6"/>
        <w:pBdr>
          <w:left w:val="single" w:sz="16" w:space="6" w:color="FFC222"/>
        </w:pBdr>
      </w:pPr>
      <w:r>
        <w:rPr>
          <w:b/>
          <w:color w:val="3B2360"/>
          <w:sz w:val="20"/>
        </w:rPr>
        <w:t xml:space="preserve">Classification:  </w:t>
      </w:r>
      <w:r>
        <w:rPr>
          <w:sz w:val="20"/>
        </w:rPr>
        <w:t>Mixed (strong on specificity and risk; thinner on the three AI-literacy tiers)</w:t>
      </w:r>
    </w:p>
    <w:tbl>
      <w:tblPr>
        <w:tblW w:type="auto" w:w="0"/>
        <w:tblLayout w:type="fixed"/>
        <w:tblLook w:firstColumn="1" w:firstRow="1" w:lastColumn="0" w:lastRow="0" w:noHBand="0" w:noVBand="1" w:val="04A0"/>
        <w:tblLayout w:type="fixed"/>
        <w:tblBorders>
          <w:top w:val="single" w:sz="4" w:space="0" w:color="C9C4D6"/>
          <w:left w:val="single" w:sz="4" w:space="0" w:color="C9C4D6"/>
          <w:bottom w:val="single" w:sz="4" w:space="0" w:color="C9C4D6"/>
          <w:right w:val="single" w:sz="4" w:space="0" w:color="C9C4D6"/>
          <w:insideH w:val="single" w:sz="4" w:space="0" w:color="C9C4D6"/>
          <w:insideV w:val="single" w:sz="4" w:space="0" w:color="C9C4D6"/>
        </w:tblBorders>
      </w:tblPr>
      <w:tblGrid>
        <w:gridCol w:w="3120"/>
        <w:gridCol w:w="3120"/>
        <w:gridCol w:w="3120"/>
      </w:tblGrid>
      <w:tr>
        <w:trPr>
          <w:tblHeader w:val="true"/>
        </w:trPr>
        <w:tc>
          <w:tcPr>
            <w:tcW w:type="dxa" w:w="2016"/>
            <w:shd w:val="clear" w:color="auto" w:fill="3B2360"/>
            <w:tcMar>
              <w:top w:w="60" w:type="dxa"/>
              <w:bottom w:w="60" w:type="dxa"/>
              <w:start w:w="100" w:type="dxa"/>
              <w:end w:w="100" w:type="dxa"/>
            </w:tcMar>
          </w:tcPr>
          <w:p>
            <w:pPr>
              <w:spacing w:after="0"/>
            </w:pPr>
            <w:r>
              <w:rPr>
                <w:b/>
                <w:color w:val="FFFFFF"/>
                <w:sz w:val="16"/>
              </w:rPr>
              <w:t>Criterion</w:t>
            </w:r>
          </w:p>
        </w:tc>
        <w:tc>
          <w:tcPr>
            <w:tcW w:type="dxa" w:w="1728"/>
            <w:shd w:val="clear" w:color="auto" w:fill="3B2360"/>
            <w:tcMar>
              <w:top w:w="60" w:type="dxa"/>
              <w:bottom w:w="60" w:type="dxa"/>
              <w:start w:w="100" w:type="dxa"/>
              <w:end w:w="100" w:type="dxa"/>
            </w:tcMar>
          </w:tcPr>
          <w:p>
            <w:pPr>
              <w:spacing w:after="0"/>
            </w:pPr>
            <w:r>
              <w:rPr>
                <w:b/>
                <w:color w:val="FFFFFF"/>
                <w:sz w:val="16"/>
              </w:rPr>
              <w:t>Rating</w:t>
            </w:r>
          </w:p>
        </w:tc>
        <w:tc>
          <w:tcPr>
            <w:tcW w:type="dxa" w:w="5616"/>
            <w:shd w:val="clear" w:color="auto" w:fill="3B2360"/>
            <w:tcMar>
              <w:top w:w="60" w:type="dxa"/>
              <w:bottom w:w="60" w:type="dxa"/>
              <w:start w:w="100" w:type="dxa"/>
              <w:end w:w="100" w:type="dxa"/>
            </w:tcMar>
          </w:tcPr>
          <w:p>
            <w:pPr>
              <w:spacing w:after="0"/>
            </w:pPr>
            <w:r>
              <w:rPr>
                <w:b/>
                <w:color w:val="FFFFFF"/>
                <w:sz w:val="16"/>
              </w:rPr>
              <w:t>Why</w:t>
            </w:r>
          </w:p>
        </w:tc>
      </w:tr>
      <w:tr>
        <w:tc>
          <w:tcPr>
            <w:tcW w:type="dxa" w:w="2016"/>
            <w:tcMar>
              <w:top w:w="60" w:type="dxa"/>
              <w:bottom w:w="60" w:type="dxa"/>
              <w:start w:w="100" w:type="dxa"/>
              <w:end w:w="100" w:type="dxa"/>
            </w:tcMar>
          </w:tcPr>
          <w:p>
            <w:pPr>
              <w:spacing w:after="0"/>
            </w:pPr>
            <w:r>
              <w:rPr>
                <w:b/>
                <w:color w:val="3B2360"/>
                <w:sz w:val="16"/>
              </w:rPr>
              <w:t>Disciplinary specificity</w:t>
            </w:r>
          </w:p>
        </w:tc>
        <w:tc>
          <w:tcPr>
            <w:tcW w:type="dxa" w:w="1728"/>
            <w:tcMar>
              <w:top w:w="60" w:type="dxa"/>
              <w:bottom w:w="60" w:type="dxa"/>
              <w:start w:w="100" w:type="dxa"/>
              <w:end w:w="100" w:type="dxa"/>
            </w:tcMar>
          </w:tcPr>
          <w:p>
            <w:pPr>
              <w:spacing w:after="0"/>
            </w:pPr>
            <w:r>
              <w:rPr>
                <w:sz w:val="16"/>
              </w:rPr>
              <w:t>Meets Target</w:t>
            </w:r>
          </w:p>
        </w:tc>
        <w:tc>
          <w:tcPr>
            <w:tcW w:type="dxa" w:w="5616"/>
            <w:tcMar>
              <w:top w:w="60" w:type="dxa"/>
              <w:bottom w:w="60" w:type="dxa"/>
              <w:start w:w="100" w:type="dxa"/>
              <w:end w:w="100" w:type="dxa"/>
            </w:tcMar>
          </w:tcPr>
          <w:p>
            <w:pPr>
              <w:spacing w:after="0"/>
            </w:pPr>
            <w:r>
              <w:rPr>
                <w:sz w:val="16"/>
              </w:rPr>
              <w:t>Names a recognizable biology practice — moving from a results figure to a defensible claim and explaining an anomaly. A colleague in the field would recognize this as the real work.</w:t>
            </w:r>
          </w:p>
        </w:tc>
      </w:tr>
      <w:tr>
        <w:tc>
          <w:tcPr>
            <w:tcW w:type="dxa" w:w="2016"/>
            <w:tcMar>
              <w:top w:w="60" w:type="dxa"/>
              <w:bottom w:w="60" w:type="dxa"/>
              <w:start w:w="100" w:type="dxa"/>
              <w:end w:w="100" w:type="dxa"/>
            </w:tcMar>
            <w:shd w:val="clear" w:color="auto" w:fill="F7F6FA"/>
          </w:tcPr>
          <w:p>
            <w:pPr>
              <w:spacing w:after="0"/>
            </w:pPr>
            <w:r>
              <w:rPr>
                <w:b/>
                <w:color w:val="3B2360"/>
                <w:sz w:val="16"/>
              </w:rPr>
              <w:t>AI literacy clarity</w:t>
            </w:r>
          </w:p>
        </w:tc>
        <w:tc>
          <w:tcPr>
            <w:tcW w:type="dxa" w:w="1728"/>
            <w:tcMar>
              <w:top w:w="60" w:type="dxa"/>
              <w:bottom w:w="60" w:type="dxa"/>
              <w:start w:w="100" w:type="dxa"/>
              <w:end w:w="100" w:type="dxa"/>
            </w:tcMar>
            <w:shd w:val="clear" w:color="auto" w:fill="F7F6FA"/>
          </w:tcPr>
          <w:p>
            <w:pPr>
              <w:spacing w:after="0"/>
            </w:pPr>
            <w:r>
              <w:rPr>
                <w:sz w:val="16"/>
              </w:rPr>
              <w:t>Adequate / Developing</w:t>
            </w:r>
          </w:p>
        </w:tc>
        <w:tc>
          <w:tcPr>
            <w:tcW w:type="dxa" w:w="5616"/>
            <w:tcMar>
              <w:top w:w="60" w:type="dxa"/>
              <w:bottom w:w="60" w:type="dxa"/>
              <w:start w:w="100" w:type="dxa"/>
              <w:end w:w="100" w:type="dxa"/>
            </w:tcMar>
            <w:shd w:val="clear" w:color="auto" w:fill="F7F6FA"/>
          </w:tcPr>
          <w:p>
            <w:pPr>
              <w:spacing w:after="0"/>
            </w:pPr>
            <w:r>
              <w:rPr>
                <w:sz w:val="16"/>
              </w:rPr>
              <w:t>Distinguishes 'cannot run the experiment or decide what data mean' (critical) from 'reword methods' (applied), but never names the technical/applied/critical tiers explicitly or maps them to specific course capabilities. The distinction is implied, not articulated.</w:t>
            </w:r>
          </w:p>
        </w:tc>
      </w:tr>
      <w:tr>
        <w:tc>
          <w:tcPr>
            <w:tcW w:type="dxa" w:w="2016"/>
            <w:tcMar>
              <w:top w:w="60" w:type="dxa"/>
              <w:bottom w:w="60" w:type="dxa"/>
              <w:start w:w="100" w:type="dxa"/>
              <w:end w:w="100" w:type="dxa"/>
            </w:tcMar>
          </w:tcPr>
          <w:p>
            <w:pPr>
              <w:spacing w:after="0"/>
            </w:pPr>
            <w:r>
              <w:rPr>
                <w:b/>
                <w:color w:val="3B2360"/>
                <w:sz w:val="16"/>
              </w:rPr>
              <w:t>Liberal arts value</w:t>
            </w:r>
          </w:p>
        </w:tc>
        <w:tc>
          <w:tcPr>
            <w:tcW w:type="dxa" w:w="1728"/>
            <w:tcMar>
              <w:top w:w="60" w:type="dxa"/>
              <w:bottom w:w="60" w:type="dxa"/>
              <w:start w:w="100" w:type="dxa"/>
              <w:end w:w="100" w:type="dxa"/>
            </w:tcMar>
          </w:tcPr>
          <w:p>
            <w:pPr>
              <w:spacing w:after="0"/>
            </w:pPr>
            <w:r>
              <w:rPr>
                <w:sz w:val="16"/>
              </w:rPr>
              <w:t>Meets Target</w:t>
            </w:r>
          </w:p>
        </w:tc>
        <w:tc>
          <w:tcPr>
            <w:tcW w:type="dxa" w:w="5616"/>
            <w:tcMar>
              <w:top w:w="60" w:type="dxa"/>
              <w:bottom w:w="60" w:type="dxa"/>
              <w:start w:w="100" w:type="dxa"/>
              <w:end w:w="100" w:type="dxa"/>
            </w:tcMar>
          </w:tcPr>
          <w:p>
            <w:pPr>
              <w:spacing w:after="0"/>
            </w:pPr>
            <w:r>
              <w:rPr>
                <w:sz w:val="16"/>
              </w:rPr>
              <w:t>Connects to interpretive judgment with a clear instructional implication (what the course certifies, what AI may not stand in for).</w:t>
            </w:r>
          </w:p>
        </w:tc>
      </w:tr>
      <w:tr>
        <w:tc>
          <w:tcPr>
            <w:tcW w:type="dxa" w:w="2016"/>
            <w:tcMar>
              <w:top w:w="60" w:type="dxa"/>
              <w:bottom w:w="60" w:type="dxa"/>
              <w:start w:w="100" w:type="dxa"/>
              <w:end w:w="100" w:type="dxa"/>
            </w:tcMar>
            <w:shd w:val="clear" w:color="auto" w:fill="F7F6FA"/>
          </w:tcPr>
          <w:p>
            <w:pPr>
              <w:spacing w:after="0"/>
            </w:pPr>
            <w:r>
              <w:rPr>
                <w:b/>
                <w:color w:val="3B2360"/>
                <w:sz w:val="16"/>
              </w:rPr>
              <w:t>Equity awareness</w:t>
            </w:r>
          </w:p>
        </w:tc>
        <w:tc>
          <w:tcPr>
            <w:tcW w:type="dxa" w:w="1728"/>
            <w:tcMar>
              <w:top w:w="60" w:type="dxa"/>
              <w:bottom w:w="60" w:type="dxa"/>
              <w:start w:w="100" w:type="dxa"/>
              <w:end w:w="100" w:type="dxa"/>
            </w:tcMar>
            <w:shd w:val="clear" w:color="auto" w:fill="F7F6FA"/>
          </w:tcPr>
          <w:p>
            <w:pPr>
              <w:spacing w:after="0"/>
            </w:pPr>
            <w:r>
              <w:rPr>
                <w:sz w:val="16"/>
              </w:rPr>
              <w:t>Meets Target</w:t>
            </w:r>
          </w:p>
        </w:tc>
        <w:tc>
          <w:tcPr>
            <w:tcW w:type="dxa" w:w="5616"/>
            <w:tcMar>
              <w:top w:w="60" w:type="dxa"/>
              <w:bottom w:w="60" w:type="dxa"/>
              <w:start w:w="100" w:type="dxa"/>
              <w:end w:w="100" w:type="dxa"/>
            </w:tcMar>
            <w:shd w:val="clear" w:color="auto" w:fill="F7F6FA"/>
          </w:tcPr>
          <w:p>
            <w:pPr>
              <w:spacing w:after="0"/>
            </w:pPr>
            <w:r>
              <w:rPr>
                <w:sz w:val="16"/>
              </w:rPr>
              <w:t>Identifies a concrete access issue (paid tool) with a documented alternative (free-tier requirement plus a worked example for non-users).</w:t>
            </w:r>
          </w:p>
        </w:tc>
      </w:tr>
    </w:tbl>
    <w:p>
      <w:pPr>
        <w:spacing w:after="40"/>
      </w:pPr>
      <w:r>
        <w:rPr>
          <w:b/>
          <w:color w:val="00854F"/>
          <w:sz w:val="18"/>
        </w:rPr>
        <w:t xml:space="preserve">Strongest feature.  </w:t>
      </w:r>
      <w:r>
        <w:rPr>
          <w:sz w:val="18"/>
        </w:rPr>
        <w:t>The risk/response/tradeoff is fully formed: a named risk (trusting a confident wrong mechanism), a sustainable response (check against the reading), and an honest tradeoff (it costs class time).</w:t>
      </w:r>
    </w:p>
    <w:p>
      <w:pPr>
        <w:spacing w:after="40"/>
      </w:pPr>
      <w:r>
        <w:rPr>
          <w:b/>
          <w:color w:val="E74645"/>
          <w:sz w:val="18"/>
        </w:rPr>
        <w:t xml:space="preserve">Highest-priority revision.  </w:t>
      </w:r>
      <w:r>
        <w:rPr>
          <w:sz w:val="18"/>
        </w:rPr>
        <w:t>Make the AI-literacy tiers explicit. The statement gestures at applied vs. critical literacy but never names them or ties each to a specific capability, which is the one criterion holding it back from 'Meets' across the board.</w:t>
      </w:r>
    </w:p>
    <w:p>
      <w:pPr>
        <w:spacing w:after="120"/>
      </w:pPr>
      <w:r>
        <w:rPr>
          <w:b/>
          <w:color w:val="6A4C92"/>
          <w:sz w:val="18"/>
        </w:rPr>
        <w:t xml:space="preserve">What a participant may mis-score, and why.  </w:t>
      </w:r>
      <w:r>
        <w:rPr>
          <w:sz w:val="18"/>
        </w:rPr>
        <w:t>Participants may over-reward this because the prose is fluent and the risk paragraph is strong, missing that AI-literacy clarity is only Adequate. Fluency is not the same as naming the three tiers accurately.</w:t>
      </w:r>
    </w:p>
    <w:p>
      <w:pPr>
        <w:pStyle w:val="Heading1"/>
      </w:pPr>
      <w:r>
        <w:t>Sample B — Literature</w:t>
      </w:r>
    </w:p>
    <w:p>
      <w:pPr>
        <w:spacing w:before="60" w:after="140"/>
        <w:shd w:val="clear" w:color="auto" w:fill="E3F1EA"/>
        <w:pBdr>
          <w:left w:val="single" w:sz="16" w:space="6" w:color="00854F"/>
        </w:pBdr>
      </w:pPr>
      <w:r>
        <w:rPr>
          <w:b/>
          <w:color w:val="00854F"/>
          <w:sz w:val="20"/>
        </w:rPr>
        <w:t xml:space="preserve">Classification:  </w:t>
      </w:r>
      <w:r>
        <w:rPr>
          <w:sz w:val="20"/>
        </w:rPr>
        <w:t>Strong (good but improvable)</w:t>
      </w:r>
    </w:p>
    <w:tbl>
      <w:tblPr>
        <w:tblW w:type="auto" w:w="0"/>
        <w:tblLayout w:type="fixed"/>
        <w:tblLook w:firstColumn="1" w:firstRow="1" w:lastColumn="0" w:lastRow="0" w:noHBand="0" w:noVBand="1" w:val="04A0"/>
        <w:tblLayout w:type="fixed"/>
        <w:tblBorders>
          <w:top w:val="single" w:sz="4" w:space="0" w:color="C9C4D6"/>
          <w:left w:val="single" w:sz="4" w:space="0" w:color="C9C4D6"/>
          <w:bottom w:val="single" w:sz="4" w:space="0" w:color="C9C4D6"/>
          <w:right w:val="single" w:sz="4" w:space="0" w:color="C9C4D6"/>
          <w:insideH w:val="single" w:sz="4" w:space="0" w:color="C9C4D6"/>
          <w:insideV w:val="single" w:sz="4" w:space="0" w:color="C9C4D6"/>
        </w:tblBorders>
      </w:tblPr>
      <w:tblGrid>
        <w:gridCol w:w="3120"/>
        <w:gridCol w:w="3120"/>
        <w:gridCol w:w="3120"/>
      </w:tblGrid>
      <w:tr>
        <w:trPr>
          <w:tblHeader w:val="true"/>
        </w:trPr>
        <w:tc>
          <w:tcPr>
            <w:tcW w:type="dxa" w:w="2016"/>
            <w:shd w:val="clear" w:color="auto" w:fill="3B2360"/>
            <w:tcMar>
              <w:top w:w="60" w:type="dxa"/>
              <w:bottom w:w="60" w:type="dxa"/>
              <w:start w:w="100" w:type="dxa"/>
              <w:end w:w="100" w:type="dxa"/>
            </w:tcMar>
          </w:tcPr>
          <w:p>
            <w:pPr>
              <w:spacing w:after="0"/>
            </w:pPr>
            <w:r>
              <w:rPr>
                <w:b/>
                <w:color w:val="FFFFFF"/>
                <w:sz w:val="16"/>
              </w:rPr>
              <w:t>Criterion</w:t>
            </w:r>
          </w:p>
        </w:tc>
        <w:tc>
          <w:tcPr>
            <w:tcW w:type="dxa" w:w="1728"/>
            <w:shd w:val="clear" w:color="auto" w:fill="3B2360"/>
            <w:tcMar>
              <w:top w:w="60" w:type="dxa"/>
              <w:bottom w:w="60" w:type="dxa"/>
              <w:start w:w="100" w:type="dxa"/>
              <w:end w:w="100" w:type="dxa"/>
            </w:tcMar>
          </w:tcPr>
          <w:p>
            <w:pPr>
              <w:spacing w:after="0"/>
            </w:pPr>
            <w:r>
              <w:rPr>
                <w:b/>
                <w:color w:val="FFFFFF"/>
                <w:sz w:val="16"/>
              </w:rPr>
              <w:t>Rating</w:t>
            </w:r>
          </w:p>
        </w:tc>
        <w:tc>
          <w:tcPr>
            <w:tcW w:type="dxa" w:w="5616"/>
            <w:shd w:val="clear" w:color="auto" w:fill="3B2360"/>
            <w:tcMar>
              <w:top w:w="60" w:type="dxa"/>
              <w:bottom w:w="60" w:type="dxa"/>
              <w:start w:w="100" w:type="dxa"/>
              <w:end w:w="100" w:type="dxa"/>
            </w:tcMar>
          </w:tcPr>
          <w:p>
            <w:pPr>
              <w:spacing w:after="0"/>
            </w:pPr>
            <w:r>
              <w:rPr>
                <w:b/>
                <w:color w:val="FFFFFF"/>
                <w:sz w:val="16"/>
              </w:rPr>
              <w:t>Why</w:t>
            </w:r>
          </w:p>
        </w:tc>
      </w:tr>
      <w:tr>
        <w:tc>
          <w:tcPr>
            <w:tcW w:type="dxa" w:w="2016"/>
            <w:tcMar>
              <w:top w:w="60" w:type="dxa"/>
              <w:bottom w:w="60" w:type="dxa"/>
              <w:start w:w="100" w:type="dxa"/>
              <w:end w:w="100" w:type="dxa"/>
            </w:tcMar>
          </w:tcPr>
          <w:p>
            <w:pPr>
              <w:spacing w:after="0"/>
            </w:pPr>
            <w:r>
              <w:rPr>
                <w:b/>
                <w:color w:val="3B2360"/>
                <w:sz w:val="16"/>
              </w:rPr>
              <w:t>Disciplinary specificity</w:t>
            </w:r>
          </w:p>
        </w:tc>
        <w:tc>
          <w:tcPr>
            <w:tcW w:type="dxa" w:w="1728"/>
            <w:tcMar>
              <w:top w:w="60" w:type="dxa"/>
              <w:bottom w:w="60" w:type="dxa"/>
              <w:start w:w="100" w:type="dxa"/>
              <w:end w:w="100" w:type="dxa"/>
            </w:tcMar>
          </w:tcPr>
          <w:p>
            <w:pPr>
              <w:spacing w:after="0"/>
            </w:pPr>
            <w:r>
              <w:rPr>
                <w:sz w:val="16"/>
              </w:rPr>
              <w:t>Meets Target</w:t>
            </w:r>
          </w:p>
        </w:tc>
        <w:tc>
          <w:tcPr>
            <w:tcW w:type="dxa" w:w="5616"/>
            <w:tcMar>
              <w:top w:w="60" w:type="dxa"/>
              <w:bottom w:w="60" w:type="dxa"/>
              <w:start w:w="100" w:type="dxa"/>
              <w:end w:w="100" w:type="dxa"/>
            </w:tcMar>
          </w:tcPr>
          <w:p>
            <w:pPr>
              <w:spacing w:after="0"/>
            </w:pPr>
            <w:r>
              <w:rPr>
                <w:sz w:val="16"/>
              </w:rPr>
              <w:t>Names a precise, field-specific practice — discriminating between two interpretations and judging which the text supports — not a generic 'critical thinking' claim.</w:t>
            </w:r>
          </w:p>
        </w:tc>
      </w:tr>
      <w:tr>
        <w:tc>
          <w:tcPr>
            <w:tcW w:type="dxa" w:w="2016"/>
            <w:tcMar>
              <w:top w:w="60" w:type="dxa"/>
              <w:bottom w:w="60" w:type="dxa"/>
              <w:start w:w="100" w:type="dxa"/>
              <w:end w:w="100" w:type="dxa"/>
            </w:tcMar>
            <w:shd w:val="clear" w:color="auto" w:fill="F7F6FA"/>
          </w:tcPr>
          <w:p>
            <w:pPr>
              <w:spacing w:after="0"/>
            </w:pPr>
            <w:r>
              <w:rPr>
                <w:b/>
                <w:color w:val="3B2360"/>
                <w:sz w:val="16"/>
              </w:rPr>
              <w:t>AI literacy clarity</w:t>
            </w:r>
          </w:p>
        </w:tc>
        <w:tc>
          <w:tcPr>
            <w:tcW w:type="dxa" w:w="1728"/>
            <w:tcMar>
              <w:top w:w="60" w:type="dxa"/>
              <w:bottom w:w="60" w:type="dxa"/>
              <w:start w:w="100" w:type="dxa"/>
              <w:end w:w="100" w:type="dxa"/>
            </w:tcMar>
            <w:shd w:val="clear" w:color="auto" w:fill="F7F6FA"/>
          </w:tcPr>
          <w:p>
            <w:pPr>
              <w:spacing w:after="0"/>
            </w:pPr>
            <w:r>
              <w:rPr>
                <w:sz w:val="16"/>
              </w:rPr>
              <w:t>Meets Target</w:t>
            </w:r>
          </w:p>
        </w:tc>
        <w:tc>
          <w:tcPr>
            <w:tcW w:type="dxa" w:w="5616"/>
            <w:tcMar>
              <w:top w:w="60" w:type="dxa"/>
              <w:bottom w:w="60" w:type="dxa"/>
              <w:start w:w="100" w:type="dxa"/>
              <w:end w:w="100" w:type="dxa"/>
            </w:tcMar>
            <w:shd w:val="clear" w:color="auto" w:fill="F7F6FA"/>
          </w:tcPr>
          <w:p>
            <w:pPr>
              <w:spacing w:after="0"/>
            </w:pPr>
            <w:r>
              <w:rPr>
                <w:sz w:val="16"/>
              </w:rPr>
              <w:t>Explicitly distinguishes technical, applied, and critical literacy AND maps each to a concrete course capability (fabricated citation; glossing an allusion; flattening ambiguity).</w:t>
            </w:r>
          </w:p>
        </w:tc>
      </w:tr>
      <w:tr>
        <w:tc>
          <w:tcPr>
            <w:tcW w:type="dxa" w:w="2016"/>
            <w:tcMar>
              <w:top w:w="60" w:type="dxa"/>
              <w:bottom w:w="60" w:type="dxa"/>
              <w:start w:w="100" w:type="dxa"/>
              <w:end w:w="100" w:type="dxa"/>
            </w:tcMar>
          </w:tcPr>
          <w:p>
            <w:pPr>
              <w:spacing w:after="0"/>
            </w:pPr>
            <w:r>
              <w:rPr>
                <w:b/>
                <w:color w:val="3B2360"/>
                <w:sz w:val="16"/>
              </w:rPr>
              <w:t>Liberal arts value</w:t>
            </w:r>
          </w:p>
        </w:tc>
        <w:tc>
          <w:tcPr>
            <w:tcW w:type="dxa" w:w="1728"/>
            <w:tcMar>
              <w:top w:w="60" w:type="dxa"/>
              <w:bottom w:w="60" w:type="dxa"/>
              <w:start w:w="100" w:type="dxa"/>
              <w:end w:w="100" w:type="dxa"/>
            </w:tcMar>
          </w:tcPr>
          <w:p>
            <w:pPr>
              <w:spacing w:after="0"/>
            </w:pPr>
            <w:r>
              <w:rPr>
                <w:sz w:val="16"/>
              </w:rPr>
              <w:t>Meets Target</w:t>
            </w:r>
          </w:p>
        </w:tc>
        <w:tc>
          <w:tcPr>
            <w:tcW w:type="dxa" w:w="5616"/>
            <w:tcMar>
              <w:top w:w="60" w:type="dxa"/>
              <w:bottom w:w="60" w:type="dxa"/>
              <w:start w:w="100" w:type="dxa"/>
              <w:end w:w="100" w:type="dxa"/>
            </w:tcMar>
          </w:tcPr>
          <w:p>
            <w:pPr>
              <w:spacing w:after="0"/>
            </w:pPr>
            <w:r>
              <w:rPr>
                <w:sz w:val="16"/>
              </w:rPr>
              <w:t>Connects interpretation to a stated instructional implication: generating the claim first skips the struggle that builds the skill.</w:t>
            </w:r>
          </w:p>
        </w:tc>
      </w:tr>
      <w:tr>
        <w:tc>
          <w:tcPr>
            <w:tcW w:type="dxa" w:w="2016"/>
            <w:tcMar>
              <w:top w:w="60" w:type="dxa"/>
              <w:bottom w:w="60" w:type="dxa"/>
              <w:start w:w="100" w:type="dxa"/>
              <w:end w:w="100" w:type="dxa"/>
            </w:tcMar>
            <w:shd w:val="clear" w:color="auto" w:fill="F7F6FA"/>
          </w:tcPr>
          <w:p>
            <w:pPr>
              <w:spacing w:after="0"/>
            </w:pPr>
            <w:r>
              <w:rPr>
                <w:b/>
                <w:color w:val="3B2360"/>
                <w:sz w:val="16"/>
              </w:rPr>
              <w:t>Equity awareness</w:t>
            </w:r>
          </w:p>
        </w:tc>
        <w:tc>
          <w:tcPr>
            <w:tcW w:type="dxa" w:w="1728"/>
            <w:tcMar>
              <w:top w:w="60" w:type="dxa"/>
              <w:bottom w:w="60" w:type="dxa"/>
              <w:start w:w="100" w:type="dxa"/>
              <w:end w:w="100" w:type="dxa"/>
            </w:tcMar>
            <w:shd w:val="clear" w:color="auto" w:fill="F7F6FA"/>
          </w:tcPr>
          <w:p>
            <w:pPr>
              <w:spacing w:after="0"/>
            </w:pPr>
            <w:r>
              <w:rPr>
                <w:sz w:val="16"/>
              </w:rPr>
              <w:t>Meets Target</w:t>
            </w:r>
          </w:p>
        </w:tc>
        <w:tc>
          <w:tcPr>
            <w:tcW w:type="dxa" w:w="5616"/>
            <w:tcMar>
              <w:top w:w="60" w:type="dxa"/>
              <w:bottom w:w="60" w:type="dxa"/>
              <w:start w:w="100" w:type="dxa"/>
              <w:end w:w="100" w:type="dxa"/>
            </w:tcMar>
            <w:shd w:val="clear" w:color="auto" w:fill="F7F6FA"/>
          </w:tcPr>
          <w:p>
            <w:pPr>
              <w:spacing w:after="0"/>
            </w:pPr>
            <w:r>
              <w:rPr>
                <w:sz w:val="16"/>
              </w:rPr>
              <w:t>Names a concrete access issue and a documented alternative (no paid requirement; visible setting), plus a language-access move for multilingual students.</w:t>
            </w:r>
          </w:p>
        </w:tc>
      </w:tr>
    </w:tbl>
    <w:p>
      <w:pPr>
        <w:spacing w:after="40"/>
      </w:pPr>
      <w:r>
        <w:rPr>
          <w:b/>
          <w:color w:val="00854F"/>
          <w:sz w:val="18"/>
        </w:rPr>
        <w:t xml:space="preserve">Strongest feature.  </w:t>
      </w:r>
      <w:r>
        <w:rPr>
          <w:sz w:val="18"/>
        </w:rPr>
        <w:t>The three AI-literacy tiers are not just named but each tied to a specific, recognizable moment in literary study. This is the model of 'specific' the module is teaching.</w:t>
      </w:r>
    </w:p>
    <w:p>
      <w:pPr>
        <w:spacing w:after="40"/>
      </w:pPr>
      <w:r>
        <w:rPr>
          <w:b/>
          <w:color w:val="E74645"/>
          <w:sz w:val="18"/>
        </w:rPr>
        <w:t xml:space="preserve">Highest-priority revision.  </w:t>
      </w:r>
      <w:r>
        <w:rPr>
          <w:sz w:val="18"/>
        </w:rPr>
        <w:t>Even strong work improves: the 'setting I can see' is slightly vague for an asynchronous or large course. Naming the actual evidence form (e.g., an in-class claim + rejected counter-reading) would make it more durable and portable to Module 3.</w:t>
      </w:r>
    </w:p>
    <w:p>
      <w:pPr>
        <w:spacing w:after="120"/>
      </w:pPr>
      <w:r>
        <w:rPr>
          <w:b/>
          <w:color w:val="6A4C92"/>
          <w:sz w:val="18"/>
        </w:rPr>
        <w:t xml:space="preserve">What a participant may mis-score, and why.  </w:t>
      </w:r>
      <w:r>
        <w:rPr>
          <w:sz w:val="18"/>
        </w:rPr>
        <w:t>Participants may under-reward the equity criterion because it is woven into the prose rather than set off as its own statement. The access floor and the language-access move are both present; read for substance, not formatting.</w:t>
      </w:r>
    </w:p>
    <w:p>
      <w:pPr>
        <w:pStyle w:val="Heading1"/>
      </w:pPr>
      <w:r>
        <w:t>Sample C — Nursing</w:t>
      </w:r>
    </w:p>
    <w:p>
      <w:pPr>
        <w:spacing w:before="60" w:after="140"/>
        <w:shd w:val="clear" w:color="auto" w:fill="FBE3E3"/>
        <w:pBdr>
          <w:left w:val="single" w:sz="16" w:space="6" w:color="E74645"/>
        </w:pBdr>
      </w:pPr>
      <w:r>
        <w:rPr>
          <w:b/>
          <w:color w:val="E74645"/>
          <w:sz w:val="20"/>
        </w:rPr>
        <w:t xml:space="preserve">Classification:  </w:t>
      </w:r>
      <w:r>
        <w:rPr>
          <w:sz w:val="20"/>
        </w:rPr>
        <w:t>Weak (realistic and well-intentioned, but generic)</w:t>
      </w:r>
    </w:p>
    <w:tbl>
      <w:tblPr>
        <w:tblW w:type="auto" w:w="0"/>
        <w:tblLayout w:type="fixed"/>
        <w:tblLook w:firstColumn="1" w:firstRow="1" w:lastColumn="0" w:lastRow="0" w:noHBand="0" w:noVBand="1" w:val="04A0"/>
        <w:tblLayout w:type="fixed"/>
        <w:tblBorders>
          <w:top w:val="single" w:sz="4" w:space="0" w:color="C9C4D6"/>
          <w:left w:val="single" w:sz="4" w:space="0" w:color="C9C4D6"/>
          <w:bottom w:val="single" w:sz="4" w:space="0" w:color="C9C4D6"/>
          <w:right w:val="single" w:sz="4" w:space="0" w:color="C9C4D6"/>
          <w:insideH w:val="single" w:sz="4" w:space="0" w:color="C9C4D6"/>
          <w:insideV w:val="single" w:sz="4" w:space="0" w:color="C9C4D6"/>
        </w:tblBorders>
      </w:tblPr>
      <w:tblGrid>
        <w:gridCol w:w="3120"/>
        <w:gridCol w:w="3120"/>
        <w:gridCol w:w="3120"/>
      </w:tblGrid>
      <w:tr>
        <w:trPr>
          <w:tblHeader w:val="true"/>
        </w:trPr>
        <w:tc>
          <w:tcPr>
            <w:tcW w:type="dxa" w:w="2016"/>
            <w:shd w:val="clear" w:color="auto" w:fill="3B2360"/>
            <w:tcMar>
              <w:top w:w="60" w:type="dxa"/>
              <w:bottom w:w="60" w:type="dxa"/>
              <w:start w:w="100" w:type="dxa"/>
              <w:end w:w="100" w:type="dxa"/>
            </w:tcMar>
          </w:tcPr>
          <w:p>
            <w:pPr>
              <w:spacing w:after="0"/>
            </w:pPr>
            <w:r>
              <w:rPr>
                <w:b/>
                <w:color w:val="FFFFFF"/>
                <w:sz w:val="16"/>
              </w:rPr>
              <w:t>Criterion</w:t>
            </w:r>
          </w:p>
        </w:tc>
        <w:tc>
          <w:tcPr>
            <w:tcW w:type="dxa" w:w="1728"/>
            <w:shd w:val="clear" w:color="auto" w:fill="3B2360"/>
            <w:tcMar>
              <w:top w:w="60" w:type="dxa"/>
              <w:bottom w:w="60" w:type="dxa"/>
              <w:start w:w="100" w:type="dxa"/>
              <w:end w:w="100" w:type="dxa"/>
            </w:tcMar>
          </w:tcPr>
          <w:p>
            <w:pPr>
              <w:spacing w:after="0"/>
            </w:pPr>
            <w:r>
              <w:rPr>
                <w:b/>
                <w:color w:val="FFFFFF"/>
                <w:sz w:val="16"/>
              </w:rPr>
              <w:t>Rating</w:t>
            </w:r>
          </w:p>
        </w:tc>
        <w:tc>
          <w:tcPr>
            <w:tcW w:type="dxa" w:w="5616"/>
            <w:shd w:val="clear" w:color="auto" w:fill="3B2360"/>
            <w:tcMar>
              <w:top w:w="60" w:type="dxa"/>
              <w:bottom w:w="60" w:type="dxa"/>
              <w:start w:w="100" w:type="dxa"/>
              <w:end w:w="100" w:type="dxa"/>
            </w:tcMar>
          </w:tcPr>
          <w:p>
            <w:pPr>
              <w:spacing w:after="0"/>
            </w:pPr>
            <w:r>
              <w:rPr>
                <w:b/>
                <w:color w:val="FFFFFF"/>
                <w:sz w:val="16"/>
              </w:rPr>
              <w:t>Why</w:t>
            </w:r>
          </w:p>
        </w:tc>
      </w:tr>
      <w:tr>
        <w:tc>
          <w:tcPr>
            <w:tcW w:type="dxa" w:w="2016"/>
            <w:tcMar>
              <w:top w:w="60" w:type="dxa"/>
              <w:bottom w:w="60" w:type="dxa"/>
              <w:start w:w="100" w:type="dxa"/>
              <w:end w:w="100" w:type="dxa"/>
            </w:tcMar>
          </w:tcPr>
          <w:p>
            <w:pPr>
              <w:spacing w:after="0"/>
            </w:pPr>
            <w:r>
              <w:rPr>
                <w:b/>
                <w:color w:val="3B2360"/>
                <w:sz w:val="16"/>
              </w:rPr>
              <w:t>Disciplinary specificity</w:t>
            </w:r>
          </w:p>
        </w:tc>
        <w:tc>
          <w:tcPr>
            <w:tcW w:type="dxa" w:w="1728"/>
            <w:tcMar>
              <w:top w:w="60" w:type="dxa"/>
              <w:bottom w:w="60" w:type="dxa"/>
              <w:start w:w="100" w:type="dxa"/>
              <w:end w:w="100" w:type="dxa"/>
            </w:tcMar>
          </w:tcPr>
          <w:p>
            <w:pPr>
              <w:spacing w:after="0"/>
            </w:pPr>
            <w:r>
              <w:rPr>
                <w:sz w:val="16"/>
              </w:rPr>
              <w:t>Needs Revision</w:t>
            </w:r>
          </w:p>
        </w:tc>
        <w:tc>
          <w:tcPr>
            <w:tcW w:type="dxa" w:w="5616"/>
            <w:tcMar>
              <w:top w:w="60" w:type="dxa"/>
              <w:bottom w:w="60" w:type="dxa"/>
              <w:start w:w="100" w:type="dxa"/>
              <w:end w:w="100" w:type="dxa"/>
            </w:tcMar>
          </w:tcPr>
          <w:p>
            <w:pPr>
              <w:spacing w:after="0"/>
            </w:pPr>
            <w:r>
              <w:rPr>
                <w:sz w:val="16"/>
              </w:rPr>
              <w:t>Could apply unchanged to almost any course. Nothing here names calibrated clinical judgment, verifying a guideline, or the specific reasoning a nursing ethics course certifies.</w:t>
            </w:r>
          </w:p>
        </w:tc>
      </w:tr>
      <w:tr>
        <w:tc>
          <w:tcPr>
            <w:tcW w:type="dxa" w:w="2016"/>
            <w:tcMar>
              <w:top w:w="60" w:type="dxa"/>
              <w:bottom w:w="60" w:type="dxa"/>
              <w:start w:w="100" w:type="dxa"/>
              <w:end w:w="100" w:type="dxa"/>
            </w:tcMar>
            <w:shd w:val="clear" w:color="auto" w:fill="F7F6FA"/>
          </w:tcPr>
          <w:p>
            <w:pPr>
              <w:spacing w:after="0"/>
            </w:pPr>
            <w:r>
              <w:rPr>
                <w:b/>
                <w:color w:val="3B2360"/>
                <w:sz w:val="16"/>
              </w:rPr>
              <w:t>AI literacy clarity</w:t>
            </w:r>
          </w:p>
        </w:tc>
        <w:tc>
          <w:tcPr>
            <w:tcW w:type="dxa" w:w="1728"/>
            <w:tcMar>
              <w:top w:w="60" w:type="dxa"/>
              <w:bottom w:w="60" w:type="dxa"/>
              <w:start w:w="100" w:type="dxa"/>
              <w:end w:w="100" w:type="dxa"/>
            </w:tcMar>
            <w:shd w:val="clear" w:color="auto" w:fill="F7F6FA"/>
          </w:tcPr>
          <w:p>
            <w:pPr>
              <w:spacing w:after="0"/>
            </w:pPr>
            <w:r>
              <w:rPr>
                <w:sz w:val="16"/>
              </w:rPr>
              <w:t>Needs Revision</w:t>
            </w:r>
          </w:p>
        </w:tc>
        <w:tc>
          <w:tcPr>
            <w:tcW w:type="dxa" w:w="5616"/>
            <w:tcMar>
              <w:top w:w="60" w:type="dxa"/>
              <w:bottom w:w="60" w:type="dxa"/>
              <w:start w:w="100" w:type="dxa"/>
              <w:end w:w="100" w:type="dxa"/>
            </w:tcMar>
            <w:shd w:val="clear" w:color="auto" w:fill="F7F6FA"/>
          </w:tcPr>
          <w:p>
            <w:pPr>
              <w:spacing w:after="0"/>
            </w:pPr>
            <w:r>
              <w:rPr>
                <w:sz w:val="16"/>
              </w:rPr>
              <w:t>Treats AI literacy as 'use it responsibly' and 'understand how AI works' without distinguishing technical, applied, and critical literacy or tying any to a course capability.</w:t>
            </w:r>
          </w:p>
        </w:tc>
      </w:tr>
      <w:tr>
        <w:tc>
          <w:tcPr>
            <w:tcW w:type="dxa" w:w="2016"/>
            <w:tcMar>
              <w:top w:w="60" w:type="dxa"/>
              <w:bottom w:w="60" w:type="dxa"/>
              <w:start w:w="100" w:type="dxa"/>
              <w:end w:w="100" w:type="dxa"/>
            </w:tcMar>
          </w:tcPr>
          <w:p>
            <w:pPr>
              <w:spacing w:after="0"/>
            </w:pPr>
            <w:r>
              <w:rPr>
                <w:b/>
                <w:color w:val="3B2360"/>
                <w:sz w:val="16"/>
              </w:rPr>
              <w:t>Liberal arts value</w:t>
            </w:r>
          </w:p>
        </w:tc>
        <w:tc>
          <w:tcPr>
            <w:tcW w:type="dxa" w:w="1728"/>
            <w:tcMar>
              <w:top w:w="60" w:type="dxa"/>
              <w:bottom w:w="60" w:type="dxa"/>
              <w:start w:w="100" w:type="dxa"/>
              <w:end w:w="100" w:type="dxa"/>
            </w:tcMar>
          </w:tcPr>
          <w:p>
            <w:pPr>
              <w:spacing w:after="0"/>
            </w:pPr>
            <w:r>
              <w:rPr>
                <w:sz w:val="16"/>
              </w:rPr>
              <w:t>Adequate / Developing</w:t>
            </w:r>
          </w:p>
        </w:tc>
        <w:tc>
          <w:tcPr>
            <w:tcW w:type="dxa" w:w="5616"/>
            <w:tcMar>
              <w:top w:w="60" w:type="dxa"/>
              <w:bottom w:w="60" w:type="dxa"/>
              <w:start w:w="100" w:type="dxa"/>
              <w:end w:w="100" w:type="dxa"/>
            </w:tcMar>
          </w:tcPr>
          <w:p>
            <w:pPr>
              <w:spacing w:after="0"/>
            </w:pPr>
            <w:r>
              <w:rPr>
                <w:sz w:val="16"/>
              </w:rPr>
              <w:t>Gestures at critical thinking and ethics but uses the phrase 'critical thinking' without specifying the cognitive practice, and names no instructional implication.</w:t>
            </w:r>
          </w:p>
        </w:tc>
      </w:tr>
      <w:tr>
        <w:tc>
          <w:tcPr>
            <w:tcW w:type="dxa" w:w="2016"/>
            <w:tcMar>
              <w:top w:w="60" w:type="dxa"/>
              <w:bottom w:w="60" w:type="dxa"/>
              <w:start w:w="100" w:type="dxa"/>
              <w:end w:w="100" w:type="dxa"/>
            </w:tcMar>
            <w:shd w:val="clear" w:color="auto" w:fill="F7F6FA"/>
          </w:tcPr>
          <w:p>
            <w:pPr>
              <w:spacing w:after="0"/>
            </w:pPr>
            <w:r>
              <w:rPr>
                <w:b/>
                <w:color w:val="3B2360"/>
                <w:sz w:val="16"/>
              </w:rPr>
              <w:t>Equity awareness</w:t>
            </w:r>
          </w:p>
        </w:tc>
        <w:tc>
          <w:tcPr>
            <w:tcW w:type="dxa" w:w="1728"/>
            <w:tcMar>
              <w:top w:w="60" w:type="dxa"/>
              <w:bottom w:w="60" w:type="dxa"/>
              <w:start w:w="100" w:type="dxa"/>
              <w:end w:w="100" w:type="dxa"/>
            </w:tcMar>
            <w:shd w:val="clear" w:color="auto" w:fill="F7F6FA"/>
          </w:tcPr>
          <w:p>
            <w:pPr>
              <w:spacing w:after="0"/>
            </w:pPr>
            <w:r>
              <w:rPr>
                <w:sz w:val="16"/>
              </w:rPr>
              <w:t>Needs Revision</w:t>
            </w:r>
          </w:p>
        </w:tc>
        <w:tc>
          <w:tcPr>
            <w:tcW w:type="dxa" w:w="5616"/>
            <w:tcMar>
              <w:top w:w="60" w:type="dxa"/>
              <w:bottom w:w="60" w:type="dxa"/>
              <w:start w:w="100" w:type="dxa"/>
              <w:end w:w="100" w:type="dxa"/>
            </w:tcMar>
            <w:shd w:val="clear" w:color="auto" w:fill="F7F6FA"/>
          </w:tcPr>
          <w:p>
            <w:pPr>
              <w:spacing w:after="0"/>
            </w:pPr>
            <w:r>
              <w:rPr>
                <w:sz w:val="16"/>
              </w:rPr>
              <w:t>'Equity is important' and 'a fair chance to succeed' are stated as values with no concrete access, language, disability, privacy, or workload issue and no design implication.</w:t>
            </w:r>
          </w:p>
        </w:tc>
      </w:tr>
    </w:tbl>
    <w:p>
      <w:pPr>
        <w:spacing w:after="40"/>
      </w:pPr>
      <w:r>
        <w:rPr>
          <w:b/>
          <w:color w:val="00854F"/>
          <w:sz w:val="18"/>
        </w:rPr>
        <w:t xml:space="preserve">Strongest feature.  </w:t>
      </w:r>
      <w:r>
        <w:rPr>
          <w:sz w:val="18"/>
        </w:rPr>
        <w:t>The instinct is sound — the author cares about responsible use, integrity, and equity. The raw commitments are present and could anchor a strong statement once specified.</w:t>
      </w:r>
    </w:p>
    <w:p>
      <w:pPr>
        <w:spacing w:after="40"/>
      </w:pPr>
      <w:r>
        <w:rPr>
          <w:b/>
          <w:color w:val="E74645"/>
          <w:sz w:val="18"/>
        </w:rPr>
        <w:t xml:space="preserve">Highest-priority revision.  </w:t>
      </w:r>
      <w:r>
        <w:rPr>
          <w:sz w:val="18"/>
        </w:rPr>
        <w:t>Replace every abstraction with one concrete nursing instance. 'Critical thinking' -&gt; 'reaching a defensible recommendation under uncertainty and verifying any guideline claim against a named source.' 'Equity is important' -&gt; a specific move (never paste patient data; provide a non-AI path). One concrete example per sentence would lift three criteria at once.</w:t>
      </w:r>
    </w:p>
    <w:p>
      <w:pPr>
        <w:spacing w:after="120"/>
      </w:pPr>
      <w:r>
        <w:rPr>
          <w:b/>
          <w:color w:val="6A4C92"/>
          <w:sz w:val="18"/>
        </w:rPr>
        <w:t xml:space="preserve">What a participant may mis-score, and why.  </w:t>
      </w:r>
      <w:r>
        <w:rPr>
          <w:sz w:val="18"/>
        </w:rPr>
        <w:t>Participants may over-reward this because it 'sounds professional' and mentions all the right words (critical thinking, ethics, equity, integrity). The rubric asks whether any of it would change a design decision — and none of it would. This is the most teachable contrast in the set: fluent and values-aligned, yet not actionable.</w:t>
      </w:r>
    </w:p>
    <w:p>
      <w:pPr>
        <w:pageBreakBefore/>
        <w:pStyle w:val="Heading1"/>
      </w:pPr>
      <w:r>
        <w:t>Most teachable contrast</w:t>
      </w:r>
    </w:p>
    <w:p>
      <w:pPr>
        <w:spacing w:after="120"/>
      </w:pPr>
      <w:r>
        <w:rPr>
          <w:b w:val="0"/>
          <w:i w:val="0"/>
          <w:sz w:val="20"/>
        </w:rPr>
        <w:t>The most teachable contrast is Sample C (Nursing) versus Sample B (Literature). Both authors clearly value responsible use and equity. C states those values; B turns each into a specific, recognizable disciplinary practice with an instructional implication. Use the pair to show that the rubric rewards actionable specificity, not professional-sounding vocabulary.</w:t>
      </w:r>
    </w:p>
    <w:p>
      <w:pPr>
        <w:pStyle w:val="Heading1"/>
      </w:pPr>
      <w:r>
        <w:t>A question the steward could use in feedback</w:t>
      </w:r>
    </w:p>
    <w:p>
      <w:pPr>
        <w:spacing w:after="120"/>
      </w:pPr>
      <w:r>
        <w:rPr>
          <w:b w:val="0"/>
          <w:i w:val="0"/>
          <w:sz w:val="20"/>
        </w:rPr>
        <w:t>One question a steward could use in feedback: 'Pick your most abstract sentence and rewrite it so a colleague in your field could point to the exact student behavior it protects. What changes?'</w:t>
      </w:r>
    </w:p>
    <w:sectPr w:rsidR="00FC693F" w:rsidRPr="0006063C" w:rsidSect="00034616">
      <w:footerReference w:type="default" r:id="rId9"/>
      <w:pgSz w:w="12240" w:h="15840"/>
      <w:pgMar w:top="1296" w:right="1440" w:bottom="129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tabs>
        <w:tab w:pos="9360" w:val="right"/>
      </w:tabs>
      <w:jc w:val="left"/>
    </w:pPr>
    <w:r/>
    <w:r>
      <w:rPr>
        <w:rFonts w:ascii="Aptos" w:hAnsi="Aptos"/>
        <w:color w:val="7C7B7C"/>
        <w:sz w:val="15"/>
      </w:rPr>
      <w:t>Teaching with AI · Module 1 · Discipline Statement Samples — STEWARD KEY</w:t>
    </w:r>
    <w:r>
      <w:rPr>
        <w:sz w:val="15"/>
      </w:rPr>
      <w:tab/>
    </w:r>
    <w:r>
      <w:rPr>
        <w:color w:val="7C7B7C"/>
        <w:sz w:val="15"/>
      </w:rPr>
      <w:fldChar w:fldCharType="begin"/>
      <w:instrText xml:space="preserve"> PAGE </w:instrText>
      <w:fldChar w:fldCharType="end"/>
    </w:r>
    <w:r>
      <w:rPr>
        <w:color w:val="7C7B7C"/>
        <w:sz w:val="15"/>
      </w:rPr>
      <w:t xml:space="preserve"> of </w:t>
    </w:r>
    <w:r>
      <w:rPr>
        <w:color w:val="7C7B7C"/>
        <w:sz w:val="15"/>
      </w:rPr>
      <w:fldChar w:fldCharType="begin"/>
      <w:instrText xml:space="preserve"> NUMPAGES 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9" w:lineRule="auto"/>
    </w:pPr>
    <w:rPr>
      <w:rFonts w:ascii="Aptos" w:hAnsi="Aptos" w:cs="Aptos"/>
      <w:color w:val="1A1A1A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3B2360"/>
      <w:sz w:val="3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80"/>
      <w:outlineLvl w:val="1"/>
    </w:pPr>
    <w:rPr>
      <w:rFonts w:asciiTheme="majorHAnsi" w:eastAsiaTheme="majorEastAsia" w:hAnsiTheme="majorHAnsi" w:cstheme="majorBidi" w:ascii="Aptos Display" w:hAnsi="Aptos Display"/>
      <w:b/>
      <w:bCs/>
      <w:color w:val="3B2360"/>
      <w:sz w:val="27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Aptos Display" w:hAnsi="Aptos Display"/>
      <w:b/>
      <w:bCs/>
      <w:color w:val="6A4C92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Garcia, John</dc:creator>
  <cp:keywords/>
  <cp:lastModifiedBy/>
  <cp:revision>1</cp:revision>
  <dcterms:created xsi:type="dcterms:W3CDTF">2013-12-23T23:15:00Z</dcterms:created>
  <dcterms:modified xsi:type="dcterms:W3CDTF">2013-12-23T23:15:00Z</dcterms:modified>
  <cp:category/>
</cp:coreProperties>
</file>