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9A7A7" w14:textId="77777777" w:rsidR="00BD17E6" w:rsidRDefault="00000000">
      <w:pPr>
        <w:shd w:val="clear" w:color="auto" w:fill="3B2360"/>
        <w:spacing w:after="40"/>
      </w:pPr>
      <w:r>
        <w:rPr>
          <w:rFonts w:ascii="Aptos Display" w:hAnsi="Aptos Display"/>
          <w:b/>
          <w:color w:val="FFC222"/>
          <w:sz w:val="20"/>
        </w:rPr>
        <w:t xml:space="preserve">  TEACHING WITH ARTIFICIAL INTELLIGENCE</w:t>
      </w:r>
      <w:r>
        <w:rPr>
          <w:b/>
          <w:color w:val="E8DCB0"/>
          <w:sz w:val="16"/>
        </w:rPr>
        <w:t xml:space="preserve">    ·    SAMPLES · STEWARD KEY</w:t>
      </w:r>
    </w:p>
    <w:p w14:paraId="528193AC" w14:textId="16B33A09" w:rsidR="00BD17E6" w:rsidRDefault="00000000">
      <w:pPr>
        <w:spacing w:before="60" w:after="20"/>
      </w:pPr>
      <w:r>
        <w:rPr>
          <w:rFonts w:ascii="Aptos Display" w:hAnsi="Aptos Display"/>
          <w:b/>
          <w:color w:val="3B2360"/>
          <w:sz w:val="36"/>
        </w:rPr>
        <w:t>Module 4 — Redesigned Assignment Samples · STEWARD KEY</w:t>
      </w:r>
      <w:r w:rsidR="00D43BDD">
        <w:rPr>
          <w:rFonts w:ascii="Aptos Display" w:hAnsi="Aptos Display"/>
          <w:b/>
          <w:color w:val="3B2360"/>
          <w:sz w:val="36"/>
        </w:rPr>
        <w:t xml:space="preserve"> </w:t>
      </w:r>
    </w:p>
    <w:p w14:paraId="500B1DCD" w14:textId="77777777" w:rsidR="00BD17E6" w:rsidRDefault="00BD17E6">
      <w:pPr>
        <w:pBdr>
          <w:bottom w:val="single" w:sz="24" w:space="1" w:color="FFC222"/>
        </w:pBdr>
      </w:pPr>
    </w:p>
    <w:p w14:paraId="55832607" w14:textId="77777777" w:rsidR="00BD17E6" w:rsidRDefault="00000000">
      <w:pPr>
        <w:spacing w:after="160"/>
      </w:pPr>
      <w:r>
        <w:rPr>
          <w:i/>
          <w:color w:val="7C7B7C"/>
          <w:sz w:val="21"/>
        </w:rPr>
        <w:t>Model evaluation. Withheld from participants until they have scored and predicted. Distribution: one strong, one weak, one mixed.</w:t>
      </w:r>
    </w:p>
    <w:p w14:paraId="2356AB3E" w14:textId="77777777" w:rsidR="00BD17E6" w:rsidRDefault="00000000">
      <w:pPr>
        <w:pStyle w:val="Heading1"/>
      </w:pPr>
      <w:r>
        <w:t>Sample A — Professional</w:t>
      </w:r>
    </w:p>
    <w:p w14:paraId="4EF4350D" w14:textId="77777777" w:rsidR="00BD17E6" w:rsidRDefault="00000000">
      <w:pPr>
        <w:pBdr>
          <w:left w:val="single" w:sz="16" w:space="6" w:color="FFC222"/>
        </w:pBdr>
        <w:shd w:val="clear" w:color="auto" w:fill="FFF4D6"/>
        <w:spacing w:before="60" w:after="140"/>
      </w:pPr>
      <w:r>
        <w:rPr>
          <w:b/>
          <w:color w:val="3B2360"/>
          <w:sz w:val="20"/>
        </w:rPr>
        <w:t xml:space="preserve">Classification:  </w:t>
      </w:r>
      <w:r>
        <w:rPr>
          <w:sz w:val="20"/>
        </w:rPr>
        <w:t>Mixed (strong alignment/equity; process evidence is thin on what it reveals)</w:t>
      </w:r>
    </w:p>
    <w:tbl>
      <w:tblPr>
        <w:tblW w:w="0" w:type="auto"/>
        <w:tblBorders>
          <w:top w:val="single" w:sz="4" w:space="0" w:color="C9C4D6"/>
          <w:left w:val="single" w:sz="4" w:space="0" w:color="C9C4D6"/>
          <w:bottom w:val="single" w:sz="4" w:space="0" w:color="C9C4D6"/>
          <w:right w:val="single" w:sz="4" w:space="0" w:color="C9C4D6"/>
          <w:insideH w:val="single" w:sz="4" w:space="0" w:color="C9C4D6"/>
          <w:insideV w:val="single" w:sz="4" w:space="0" w:color="C9C4D6"/>
        </w:tblBorders>
        <w:tblLayout w:type="fixed"/>
        <w:tblLook w:val="04A0" w:firstRow="1" w:lastRow="0" w:firstColumn="1" w:lastColumn="0" w:noHBand="0" w:noVBand="1"/>
      </w:tblPr>
      <w:tblGrid>
        <w:gridCol w:w="2016"/>
        <w:gridCol w:w="1728"/>
        <w:gridCol w:w="5616"/>
      </w:tblGrid>
      <w:tr w:rsidR="00BD17E6" w14:paraId="3CF90939" w14:textId="77777777">
        <w:trPr>
          <w:tblHeader/>
        </w:trPr>
        <w:tc>
          <w:tcPr>
            <w:tcW w:w="2016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A41129" w14:textId="77777777" w:rsidR="00BD17E6" w:rsidRDefault="00000000">
            <w:pPr>
              <w:spacing w:after="0"/>
            </w:pPr>
            <w:r>
              <w:rPr>
                <w:b/>
                <w:color w:val="FFFFFF"/>
                <w:sz w:val="16"/>
              </w:rPr>
              <w:t>Criterion</w:t>
            </w:r>
          </w:p>
        </w:tc>
        <w:tc>
          <w:tcPr>
            <w:tcW w:w="1728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3318C6" w14:textId="77777777" w:rsidR="00BD17E6" w:rsidRDefault="00000000">
            <w:pPr>
              <w:spacing w:after="0"/>
            </w:pPr>
            <w:r>
              <w:rPr>
                <w:b/>
                <w:color w:val="FFFFFF"/>
                <w:sz w:val="16"/>
              </w:rPr>
              <w:t>Rating</w:t>
            </w:r>
          </w:p>
        </w:tc>
        <w:tc>
          <w:tcPr>
            <w:tcW w:w="5616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4A5DB1" w14:textId="77777777" w:rsidR="00BD17E6" w:rsidRDefault="00000000">
            <w:pPr>
              <w:spacing w:after="0"/>
            </w:pPr>
            <w:r>
              <w:rPr>
                <w:b/>
                <w:color w:val="FFFFFF"/>
                <w:sz w:val="16"/>
              </w:rPr>
              <w:t>Why</w:t>
            </w:r>
          </w:p>
        </w:tc>
      </w:tr>
      <w:tr w:rsidR="00BD17E6" w14:paraId="3625FDE6" w14:textId="77777777">
        <w:tc>
          <w:tcPr>
            <w:tcW w:w="201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8E392D8" w14:textId="77777777" w:rsidR="00BD17E6" w:rsidRDefault="00000000">
            <w:pPr>
              <w:spacing w:after="0"/>
            </w:pPr>
            <w:r>
              <w:rPr>
                <w:b/>
                <w:color w:val="3B2360"/>
                <w:sz w:val="16"/>
              </w:rPr>
              <w:t>Alignment</w:t>
            </w:r>
          </w:p>
        </w:tc>
        <w:tc>
          <w:tcPr>
            <w:tcW w:w="172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8538B8" w14:textId="77777777" w:rsidR="00BD17E6" w:rsidRDefault="00000000">
            <w:pPr>
              <w:spacing w:after="0"/>
            </w:pPr>
            <w:r>
              <w:rPr>
                <w:sz w:val="16"/>
              </w:rPr>
              <w:t>Meets Target</w:t>
            </w:r>
          </w:p>
        </w:tc>
        <w:tc>
          <w:tcPr>
            <w:tcW w:w="561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DDB2ED" w14:textId="77777777" w:rsidR="00BD17E6" w:rsidRDefault="00000000">
            <w:pPr>
              <w:spacing w:after="0"/>
            </w:pPr>
            <w:r>
              <w:rPr>
                <w:sz w:val="16"/>
              </w:rPr>
              <w:t>Outcome, Level 2, task, criteria, and AI guidance reinforce each other; the verification line is well matched to the clinical-judgment goal.</w:t>
            </w:r>
          </w:p>
        </w:tc>
      </w:tr>
      <w:tr w:rsidR="00BD17E6" w14:paraId="20619E31" w14:textId="77777777">
        <w:tc>
          <w:tcPr>
            <w:tcW w:w="2016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8A2530" w14:textId="77777777" w:rsidR="00BD17E6" w:rsidRDefault="00000000">
            <w:pPr>
              <w:spacing w:after="0"/>
            </w:pPr>
            <w:r>
              <w:rPr>
                <w:b/>
                <w:color w:val="3B2360"/>
                <w:sz w:val="16"/>
              </w:rPr>
              <w:t>Transparency</w:t>
            </w:r>
          </w:p>
        </w:tc>
        <w:tc>
          <w:tcPr>
            <w:tcW w:w="1728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C18AF6" w14:textId="77777777" w:rsidR="00BD17E6" w:rsidRDefault="00000000">
            <w:pPr>
              <w:spacing w:after="0"/>
            </w:pPr>
            <w:r>
              <w:rPr>
                <w:sz w:val="16"/>
              </w:rPr>
              <w:t>Meets Target</w:t>
            </w:r>
          </w:p>
        </w:tc>
        <w:tc>
          <w:tcPr>
            <w:tcW w:w="5616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FCE81E" w14:textId="77777777" w:rsidR="00BD17E6" w:rsidRDefault="00000000">
            <w:pPr>
              <w:spacing w:after="0"/>
            </w:pPr>
            <w:r>
              <w:rPr>
                <w:sz w:val="16"/>
              </w:rPr>
              <w:t>Students can tell what to do, why, how it is judged, and what AI use is allowed; the privacy and verification rules are explicit.</w:t>
            </w:r>
          </w:p>
        </w:tc>
      </w:tr>
      <w:tr w:rsidR="00BD17E6" w14:paraId="2477F974" w14:textId="77777777">
        <w:tc>
          <w:tcPr>
            <w:tcW w:w="201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FE88BA" w14:textId="77777777" w:rsidR="00BD17E6" w:rsidRDefault="00000000">
            <w:pPr>
              <w:spacing w:after="0"/>
            </w:pPr>
            <w:r>
              <w:rPr>
                <w:b/>
                <w:color w:val="3B2360"/>
                <w:sz w:val="16"/>
              </w:rPr>
              <w:t>Process evidence</w:t>
            </w:r>
          </w:p>
        </w:tc>
        <w:tc>
          <w:tcPr>
            <w:tcW w:w="172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D039FC" w14:textId="77777777" w:rsidR="00BD17E6" w:rsidRDefault="00000000">
            <w:pPr>
              <w:spacing w:after="0"/>
            </w:pPr>
            <w:r>
              <w:rPr>
                <w:sz w:val="16"/>
              </w:rPr>
              <w:t>Adequate / Developing</w:t>
            </w:r>
          </w:p>
        </w:tc>
        <w:tc>
          <w:tcPr>
            <w:tcW w:w="561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4D6066" w14:textId="77777777" w:rsidR="00BD17E6" w:rsidRDefault="00000000">
            <w:pPr>
              <w:spacing w:after="0"/>
            </w:pPr>
            <w:r>
              <w:rPr>
                <w:sz w:val="16"/>
              </w:rPr>
              <w:t>A 1-sentence planning note is appropriately small but reveals little about the calibrated judgment the course cares about; a note on why the recommendation was chosen over the next-best option would reveal more for similar cost.</w:t>
            </w:r>
          </w:p>
        </w:tc>
      </w:tr>
      <w:tr w:rsidR="00BD17E6" w14:paraId="336ECE50" w14:textId="77777777">
        <w:tc>
          <w:tcPr>
            <w:tcW w:w="2016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A9AD29" w14:textId="77777777" w:rsidR="00BD17E6" w:rsidRDefault="00000000">
            <w:pPr>
              <w:spacing w:after="0"/>
            </w:pPr>
            <w:r>
              <w:rPr>
                <w:b/>
                <w:color w:val="3B2360"/>
                <w:sz w:val="16"/>
              </w:rPr>
              <w:t>Equity and access</w:t>
            </w:r>
          </w:p>
        </w:tc>
        <w:tc>
          <w:tcPr>
            <w:tcW w:w="1728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64C573" w14:textId="77777777" w:rsidR="00BD17E6" w:rsidRDefault="00000000">
            <w:pPr>
              <w:spacing w:after="0"/>
            </w:pPr>
            <w:r>
              <w:rPr>
                <w:sz w:val="16"/>
              </w:rPr>
              <w:t>Meets Target</w:t>
            </w:r>
          </w:p>
        </w:tc>
        <w:tc>
          <w:tcPr>
            <w:tcW w:w="5616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F7B886" w14:textId="77777777" w:rsidR="00BD17E6" w:rsidRDefault="00000000">
            <w:pPr>
              <w:spacing w:after="0"/>
            </w:pPr>
            <w:r>
              <w:rPr>
                <w:sz w:val="16"/>
              </w:rPr>
              <w:t>Free-tier-completable (Level 2 needs no tool), documented alternative (office-hours planning), privacy caution, and a verification requirement.</w:t>
            </w:r>
          </w:p>
        </w:tc>
      </w:tr>
    </w:tbl>
    <w:p w14:paraId="3CEDA08A" w14:textId="77777777" w:rsidR="00BD17E6" w:rsidRDefault="00000000">
      <w:pPr>
        <w:spacing w:after="40"/>
      </w:pPr>
      <w:r>
        <w:rPr>
          <w:b/>
          <w:color w:val="00854F"/>
          <w:sz w:val="18"/>
        </w:rPr>
        <w:t xml:space="preserve">Strongest feature.  </w:t>
      </w:r>
      <w:r>
        <w:rPr>
          <w:sz w:val="18"/>
        </w:rPr>
        <w:t>The privacy-plus-verification pairing is exactly right for a clinical context and is stated in student-facing language.</w:t>
      </w:r>
    </w:p>
    <w:p w14:paraId="0334A0EF" w14:textId="77777777" w:rsidR="00BD17E6" w:rsidRDefault="00000000">
      <w:pPr>
        <w:spacing w:after="40"/>
      </w:pPr>
      <w:r>
        <w:rPr>
          <w:b/>
          <w:color w:val="E74645"/>
          <w:sz w:val="18"/>
        </w:rPr>
        <w:t xml:space="preserve">Highest-priority revision.  </w:t>
      </w:r>
      <w:r>
        <w:rPr>
          <w:sz w:val="18"/>
        </w:rPr>
        <w:t>Swap the planning-use note for a 2-3 sentence 'why this recommendation over the next-best option' note as the one process-evidence element. Same workload, far more learning signal, and it directly targets calibrated judgment.</w:t>
      </w:r>
    </w:p>
    <w:p w14:paraId="150E994A" w14:textId="77777777" w:rsidR="00BD17E6" w:rsidRDefault="00000000">
      <w:r>
        <w:rPr>
          <w:b/>
          <w:color w:val="6A4C92"/>
          <w:sz w:val="18"/>
        </w:rPr>
        <w:t xml:space="preserve">What a participant may mis-score, and why.  </w:t>
      </w:r>
      <w:r>
        <w:rPr>
          <w:sz w:val="18"/>
        </w:rPr>
        <w:t>Participants may over-score Process evidence because a process element exists and workload is low. The rubric asks whether it reveals a learning-relevant decision — a planning-use note mostly documents that planning happened.</w:t>
      </w:r>
    </w:p>
    <w:p w14:paraId="6C1B62A8" w14:textId="77777777" w:rsidR="00BD17E6" w:rsidRDefault="00000000">
      <w:pPr>
        <w:pStyle w:val="Heading1"/>
      </w:pPr>
      <w:r>
        <w:t>Sample B — Humanities</w:t>
      </w:r>
    </w:p>
    <w:p w14:paraId="71A4AF67" w14:textId="77777777" w:rsidR="00BD17E6" w:rsidRDefault="00000000">
      <w:pPr>
        <w:pBdr>
          <w:left w:val="single" w:sz="16" w:space="6" w:color="00854F"/>
        </w:pBdr>
        <w:shd w:val="clear" w:color="auto" w:fill="E3F1EA"/>
        <w:spacing w:before="60" w:after="140"/>
      </w:pPr>
      <w:r>
        <w:rPr>
          <w:b/>
          <w:color w:val="00854F"/>
          <w:sz w:val="20"/>
        </w:rPr>
        <w:t xml:space="preserve">Classification:  </w:t>
      </w:r>
      <w:r>
        <w:rPr>
          <w:sz w:val="20"/>
        </w:rPr>
        <w:t>Strong (good but improvable)</w:t>
      </w:r>
    </w:p>
    <w:tbl>
      <w:tblPr>
        <w:tblW w:w="0" w:type="auto"/>
        <w:tblBorders>
          <w:top w:val="single" w:sz="4" w:space="0" w:color="C9C4D6"/>
          <w:left w:val="single" w:sz="4" w:space="0" w:color="C9C4D6"/>
          <w:bottom w:val="single" w:sz="4" w:space="0" w:color="C9C4D6"/>
          <w:right w:val="single" w:sz="4" w:space="0" w:color="C9C4D6"/>
          <w:insideH w:val="single" w:sz="4" w:space="0" w:color="C9C4D6"/>
          <w:insideV w:val="single" w:sz="4" w:space="0" w:color="C9C4D6"/>
        </w:tblBorders>
        <w:tblLayout w:type="fixed"/>
        <w:tblLook w:val="04A0" w:firstRow="1" w:lastRow="0" w:firstColumn="1" w:lastColumn="0" w:noHBand="0" w:noVBand="1"/>
      </w:tblPr>
      <w:tblGrid>
        <w:gridCol w:w="2016"/>
        <w:gridCol w:w="1728"/>
        <w:gridCol w:w="5616"/>
      </w:tblGrid>
      <w:tr w:rsidR="00BD17E6" w14:paraId="0F4B4D70" w14:textId="77777777">
        <w:trPr>
          <w:tblHeader/>
        </w:trPr>
        <w:tc>
          <w:tcPr>
            <w:tcW w:w="2016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5EA03AB" w14:textId="77777777" w:rsidR="00BD17E6" w:rsidRDefault="00000000">
            <w:pPr>
              <w:spacing w:after="0"/>
            </w:pPr>
            <w:r>
              <w:rPr>
                <w:b/>
                <w:color w:val="FFFFFF"/>
                <w:sz w:val="16"/>
              </w:rPr>
              <w:t>Criterion</w:t>
            </w:r>
          </w:p>
        </w:tc>
        <w:tc>
          <w:tcPr>
            <w:tcW w:w="1728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9B9DB4" w14:textId="77777777" w:rsidR="00BD17E6" w:rsidRDefault="00000000">
            <w:pPr>
              <w:spacing w:after="0"/>
            </w:pPr>
            <w:r>
              <w:rPr>
                <w:b/>
                <w:color w:val="FFFFFF"/>
                <w:sz w:val="16"/>
              </w:rPr>
              <w:t>Rating</w:t>
            </w:r>
          </w:p>
        </w:tc>
        <w:tc>
          <w:tcPr>
            <w:tcW w:w="5616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FDA90E" w14:textId="77777777" w:rsidR="00BD17E6" w:rsidRDefault="00000000">
            <w:pPr>
              <w:spacing w:after="0"/>
            </w:pPr>
            <w:r>
              <w:rPr>
                <w:b/>
                <w:color w:val="FFFFFF"/>
                <w:sz w:val="16"/>
              </w:rPr>
              <w:t>Why</w:t>
            </w:r>
          </w:p>
        </w:tc>
      </w:tr>
      <w:tr w:rsidR="00BD17E6" w14:paraId="7961AA86" w14:textId="77777777">
        <w:tc>
          <w:tcPr>
            <w:tcW w:w="201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E682E0" w14:textId="77777777" w:rsidR="00BD17E6" w:rsidRDefault="00000000">
            <w:pPr>
              <w:spacing w:after="0"/>
            </w:pPr>
            <w:r>
              <w:rPr>
                <w:b/>
                <w:color w:val="3B2360"/>
                <w:sz w:val="16"/>
              </w:rPr>
              <w:t>Alignment</w:t>
            </w:r>
          </w:p>
        </w:tc>
        <w:tc>
          <w:tcPr>
            <w:tcW w:w="172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37A643" w14:textId="77777777" w:rsidR="00BD17E6" w:rsidRDefault="00000000">
            <w:pPr>
              <w:spacing w:after="0"/>
            </w:pPr>
            <w:r>
              <w:rPr>
                <w:sz w:val="16"/>
              </w:rPr>
              <w:t>Meets Target</w:t>
            </w:r>
          </w:p>
        </w:tc>
        <w:tc>
          <w:tcPr>
            <w:tcW w:w="561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F23ED7" w14:textId="77777777" w:rsidR="00BD17E6" w:rsidRDefault="00000000">
            <w:pPr>
              <w:spacing w:after="0"/>
            </w:pPr>
            <w:r>
              <w:rPr>
                <w:sz w:val="16"/>
              </w:rPr>
              <w:t>Outcome, component AIAS levels, task, criteria, and AI guidance reinforce one another with no contradiction; Level 1 drafting protects the schema-building core.</w:t>
            </w:r>
          </w:p>
        </w:tc>
      </w:tr>
      <w:tr w:rsidR="00BD17E6" w14:paraId="6CC1308F" w14:textId="77777777">
        <w:tc>
          <w:tcPr>
            <w:tcW w:w="2016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D7D084" w14:textId="77777777" w:rsidR="00BD17E6" w:rsidRDefault="00000000">
            <w:pPr>
              <w:spacing w:after="0"/>
            </w:pPr>
            <w:r>
              <w:rPr>
                <w:b/>
                <w:color w:val="3B2360"/>
                <w:sz w:val="16"/>
              </w:rPr>
              <w:t>Transparency</w:t>
            </w:r>
          </w:p>
        </w:tc>
        <w:tc>
          <w:tcPr>
            <w:tcW w:w="1728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6718EB" w14:textId="77777777" w:rsidR="00BD17E6" w:rsidRDefault="00000000">
            <w:pPr>
              <w:spacing w:after="0"/>
            </w:pPr>
            <w:r>
              <w:rPr>
                <w:sz w:val="16"/>
              </w:rPr>
              <w:t>Meets Target</w:t>
            </w:r>
          </w:p>
        </w:tc>
        <w:tc>
          <w:tcPr>
            <w:tcW w:w="5616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33B55B" w14:textId="77777777" w:rsidR="00BD17E6" w:rsidRDefault="00000000">
            <w:pPr>
              <w:spacing w:after="0"/>
            </w:pPr>
            <w:r>
              <w:rPr>
                <w:sz w:val="16"/>
              </w:rPr>
              <w:t>A student can tell exactly what to do, why, how it is judged, and how AI may be used, including the edge cases (translation encouraged; claim generation prohibited).</w:t>
            </w:r>
          </w:p>
        </w:tc>
      </w:tr>
      <w:tr w:rsidR="00BD17E6" w14:paraId="4DE9A1CA" w14:textId="77777777">
        <w:tc>
          <w:tcPr>
            <w:tcW w:w="201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70C93F" w14:textId="77777777" w:rsidR="00BD17E6" w:rsidRDefault="00000000">
            <w:pPr>
              <w:spacing w:after="0"/>
            </w:pPr>
            <w:r>
              <w:rPr>
                <w:b/>
                <w:color w:val="3B2360"/>
                <w:sz w:val="16"/>
              </w:rPr>
              <w:t>Process evidence</w:t>
            </w:r>
          </w:p>
        </w:tc>
        <w:tc>
          <w:tcPr>
            <w:tcW w:w="172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E553EB" w14:textId="77777777" w:rsidR="00BD17E6" w:rsidRDefault="00000000">
            <w:pPr>
              <w:spacing w:after="0"/>
            </w:pPr>
            <w:r>
              <w:rPr>
                <w:sz w:val="16"/>
              </w:rPr>
              <w:t>Meets Target</w:t>
            </w:r>
          </w:p>
        </w:tc>
        <w:tc>
          <w:tcPr>
            <w:tcW w:w="561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FD15CFF" w14:textId="77777777" w:rsidR="00BD17E6" w:rsidRDefault="00000000">
            <w:pPr>
              <w:spacing w:after="0"/>
            </w:pPr>
            <w:r>
              <w:rPr>
                <w:sz w:val="16"/>
              </w:rPr>
              <w:t>Exactly one element (revision plan), within workload thresholds, with a named, gradeable rubric line that reveals the revision decision.</w:t>
            </w:r>
          </w:p>
        </w:tc>
      </w:tr>
      <w:tr w:rsidR="00BD17E6" w14:paraId="51774A43" w14:textId="77777777">
        <w:tc>
          <w:tcPr>
            <w:tcW w:w="2016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F0A5AA" w14:textId="77777777" w:rsidR="00BD17E6" w:rsidRDefault="00000000">
            <w:pPr>
              <w:spacing w:after="0"/>
            </w:pPr>
            <w:r>
              <w:rPr>
                <w:b/>
                <w:color w:val="3B2360"/>
                <w:sz w:val="16"/>
              </w:rPr>
              <w:t>Equity and access</w:t>
            </w:r>
          </w:p>
        </w:tc>
        <w:tc>
          <w:tcPr>
            <w:tcW w:w="1728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103816" w14:textId="77777777" w:rsidR="00BD17E6" w:rsidRDefault="00000000">
            <w:pPr>
              <w:spacing w:after="0"/>
            </w:pPr>
            <w:r>
              <w:rPr>
                <w:sz w:val="16"/>
              </w:rPr>
              <w:t>Meets Target</w:t>
            </w:r>
          </w:p>
        </w:tc>
        <w:tc>
          <w:tcPr>
            <w:tcW w:w="5616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E4468D9" w14:textId="77777777" w:rsidR="00BD17E6" w:rsidRDefault="00000000">
            <w:pPr>
              <w:spacing w:after="0"/>
            </w:pPr>
            <w:r>
              <w:rPr>
                <w:sz w:val="16"/>
              </w:rPr>
              <w:t>Free-tier path, encouraged language access, privacy caution, plain-language source summaries for non-users.</w:t>
            </w:r>
          </w:p>
        </w:tc>
      </w:tr>
    </w:tbl>
    <w:p w14:paraId="6868C8E0" w14:textId="77777777" w:rsidR="00BD17E6" w:rsidRDefault="00000000">
      <w:pPr>
        <w:spacing w:after="40"/>
      </w:pPr>
      <w:r>
        <w:rPr>
          <w:b/>
          <w:color w:val="00854F"/>
          <w:sz w:val="18"/>
        </w:rPr>
        <w:lastRenderedPageBreak/>
        <w:t xml:space="preserve">Strongest feature.  </w:t>
      </w:r>
      <w:r>
        <w:rPr>
          <w:sz w:val="18"/>
        </w:rPr>
        <w:t>The 'documentation, not penalty' tripwire and the draft-first Collaborator boundary make honest use safe and keep the posture intact — model Module 4 design.</w:t>
      </w:r>
    </w:p>
    <w:p w14:paraId="16EF1FBB" w14:textId="77777777" w:rsidR="00BD17E6" w:rsidRDefault="00000000">
      <w:pPr>
        <w:spacing w:after="40"/>
      </w:pPr>
      <w:r>
        <w:rPr>
          <w:b/>
          <w:color w:val="E74645"/>
          <w:sz w:val="18"/>
        </w:rPr>
        <w:t xml:space="preserve">Highest-priority revision.  </w:t>
      </w:r>
      <w:r>
        <w:rPr>
          <w:sz w:val="18"/>
        </w:rPr>
        <w:t>Confirm the free-tier check carries an actual date in the vintage field, and consider whether 6 min/student of plan review is feasible across two sections at peak weeks.</w:t>
      </w:r>
    </w:p>
    <w:p w14:paraId="6EA1010D" w14:textId="77777777" w:rsidR="00BD17E6" w:rsidRDefault="00000000">
      <w:r>
        <w:rPr>
          <w:b/>
          <w:color w:val="6A4C92"/>
          <w:sz w:val="18"/>
        </w:rPr>
        <w:t xml:space="preserve">What a participant may mis-score, and why.  </w:t>
      </w:r>
      <w:r>
        <w:rPr>
          <w:sz w:val="18"/>
        </w:rPr>
        <w:t>Participants may worry the plan plus essay is 'two elements' and under-score Process evidence. The plan is the single process-evidence element; the revised essay is the assignment itself, not added evidence.</w:t>
      </w:r>
    </w:p>
    <w:p w14:paraId="31B251CD" w14:textId="77777777" w:rsidR="00BD17E6" w:rsidRDefault="00000000">
      <w:pPr>
        <w:pStyle w:val="Heading1"/>
      </w:pPr>
      <w:r>
        <w:t>Sample C — Lab</w:t>
      </w:r>
    </w:p>
    <w:p w14:paraId="20F8E58A" w14:textId="77777777" w:rsidR="00BD17E6" w:rsidRDefault="00000000">
      <w:pPr>
        <w:pBdr>
          <w:left w:val="single" w:sz="16" w:space="6" w:color="E74645"/>
        </w:pBdr>
        <w:shd w:val="clear" w:color="auto" w:fill="FBE3E3"/>
        <w:spacing w:before="60" w:after="140"/>
      </w:pPr>
      <w:r>
        <w:rPr>
          <w:b/>
          <w:color w:val="E74645"/>
          <w:sz w:val="20"/>
        </w:rPr>
        <w:t xml:space="preserve">Classification:  </w:t>
      </w:r>
      <w:r>
        <w:rPr>
          <w:sz w:val="20"/>
        </w:rPr>
        <w:t>Weak (AI-proofing + surveillance; not realistic, but plausibly tempting)</w:t>
      </w:r>
    </w:p>
    <w:tbl>
      <w:tblPr>
        <w:tblW w:w="0" w:type="auto"/>
        <w:tblBorders>
          <w:top w:val="single" w:sz="4" w:space="0" w:color="C9C4D6"/>
          <w:left w:val="single" w:sz="4" w:space="0" w:color="C9C4D6"/>
          <w:bottom w:val="single" w:sz="4" w:space="0" w:color="C9C4D6"/>
          <w:right w:val="single" w:sz="4" w:space="0" w:color="C9C4D6"/>
          <w:insideH w:val="single" w:sz="4" w:space="0" w:color="C9C4D6"/>
          <w:insideV w:val="single" w:sz="4" w:space="0" w:color="C9C4D6"/>
        </w:tblBorders>
        <w:tblLayout w:type="fixed"/>
        <w:tblLook w:val="04A0" w:firstRow="1" w:lastRow="0" w:firstColumn="1" w:lastColumn="0" w:noHBand="0" w:noVBand="1"/>
      </w:tblPr>
      <w:tblGrid>
        <w:gridCol w:w="2016"/>
        <w:gridCol w:w="1728"/>
        <w:gridCol w:w="5616"/>
      </w:tblGrid>
      <w:tr w:rsidR="00BD17E6" w14:paraId="64348813" w14:textId="77777777">
        <w:trPr>
          <w:tblHeader/>
        </w:trPr>
        <w:tc>
          <w:tcPr>
            <w:tcW w:w="2016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8A9E3A" w14:textId="77777777" w:rsidR="00BD17E6" w:rsidRDefault="00000000">
            <w:pPr>
              <w:spacing w:after="0"/>
            </w:pPr>
            <w:r>
              <w:rPr>
                <w:b/>
                <w:color w:val="FFFFFF"/>
                <w:sz w:val="16"/>
              </w:rPr>
              <w:t>Criterion</w:t>
            </w:r>
          </w:p>
        </w:tc>
        <w:tc>
          <w:tcPr>
            <w:tcW w:w="1728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E4C84C" w14:textId="77777777" w:rsidR="00BD17E6" w:rsidRDefault="00000000">
            <w:pPr>
              <w:spacing w:after="0"/>
            </w:pPr>
            <w:r>
              <w:rPr>
                <w:b/>
                <w:color w:val="FFFFFF"/>
                <w:sz w:val="16"/>
              </w:rPr>
              <w:t>Rating</w:t>
            </w:r>
          </w:p>
        </w:tc>
        <w:tc>
          <w:tcPr>
            <w:tcW w:w="5616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E4F269" w14:textId="77777777" w:rsidR="00BD17E6" w:rsidRDefault="00000000">
            <w:pPr>
              <w:spacing w:after="0"/>
            </w:pPr>
            <w:r>
              <w:rPr>
                <w:b/>
                <w:color w:val="FFFFFF"/>
                <w:sz w:val="16"/>
              </w:rPr>
              <w:t>Why</w:t>
            </w:r>
          </w:p>
        </w:tc>
      </w:tr>
      <w:tr w:rsidR="00BD17E6" w14:paraId="780A0B48" w14:textId="77777777">
        <w:tc>
          <w:tcPr>
            <w:tcW w:w="201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552A40" w14:textId="77777777" w:rsidR="00BD17E6" w:rsidRDefault="00000000">
            <w:pPr>
              <w:spacing w:after="0"/>
            </w:pPr>
            <w:r>
              <w:rPr>
                <w:b/>
                <w:color w:val="3B2360"/>
                <w:sz w:val="16"/>
              </w:rPr>
              <w:t>Alignment</w:t>
            </w:r>
          </w:p>
        </w:tc>
        <w:tc>
          <w:tcPr>
            <w:tcW w:w="172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42C1ED" w14:textId="77777777" w:rsidR="00BD17E6" w:rsidRDefault="00000000">
            <w:pPr>
              <w:spacing w:after="0"/>
            </w:pPr>
            <w:r>
              <w:rPr>
                <w:sz w:val="16"/>
              </w:rPr>
              <w:t>Needs Revision</w:t>
            </w:r>
          </w:p>
        </w:tc>
        <w:tc>
          <w:tcPr>
            <w:tcW w:w="561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16716D" w14:textId="77777777" w:rsidR="00BD17E6" w:rsidRDefault="00000000">
            <w:pPr>
              <w:spacing w:after="0"/>
            </w:pPr>
            <w:r>
              <w:rPr>
                <w:sz w:val="16"/>
              </w:rPr>
              <w:t>'Show you understand' is not a behavioral outcome; the controls (selfie, screen recording) do not align to any stated learning goal and contradict the lab's actual aim (interpreting results).</w:t>
            </w:r>
          </w:p>
        </w:tc>
      </w:tr>
      <w:tr w:rsidR="00BD17E6" w14:paraId="4B74EFF5" w14:textId="77777777">
        <w:tc>
          <w:tcPr>
            <w:tcW w:w="2016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5FBB33" w14:textId="77777777" w:rsidR="00BD17E6" w:rsidRDefault="00000000">
            <w:pPr>
              <w:spacing w:after="0"/>
            </w:pPr>
            <w:r>
              <w:rPr>
                <w:b/>
                <w:color w:val="3B2360"/>
                <w:sz w:val="16"/>
              </w:rPr>
              <w:t>Transparency</w:t>
            </w:r>
          </w:p>
        </w:tc>
        <w:tc>
          <w:tcPr>
            <w:tcW w:w="1728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9D6652" w14:textId="77777777" w:rsidR="00BD17E6" w:rsidRDefault="00000000">
            <w:pPr>
              <w:spacing w:after="0"/>
            </w:pPr>
            <w:r>
              <w:rPr>
                <w:sz w:val="16"/>
              </w:rPr>
              <w:t>Adequate / Developing</w:t>
            </w:r>
          </w:p>
        </w:tc>
        <w:tc>
          <w:tcPr>
            <w:tcW w:w="5616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6B4CFA" w14:textId="77777777" w:rsidR="00BD17E6" w:rsidRDefault="00000000">
            <w:pPr>
              <w:spacing w:after="0"/>
            </w:pPr>
            <w:r>
              <w:rPr>
                <w:sz w:val="16"/>
              </w:rPr>
              <w:t>Rules are clear but punitive and contradictory (ban + detector + total logging); a student would know what is forbidden but not what cognitive work is valued.</w:t>
            </w:r>
          </w:p>
        </w:tc>
      </w:tr>
      <w:tr w:rsidR="00BD17E6" w14:paraId="2B4687E8" w14:textId="77777777">
        <w:tc>
          <w:tcPr>
            <w:tcW w:w="201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0265B60" w14:textId="77777777" w:rsidR="00BD17E6" w:rsidRDefault="00000000">
            <w:pPr>
              <w:spacing w:after="0"/>
            </w:pPr>
            <w:r>
              <w:rPr>
                <w:b/>
                <w:color w:val="3B2360"/>
                <w:sz w:val="16"/>
              </w:rPr>
              <w:t>Process evidence</w:t>
            </w:r>
          </w:p>
        </w:tc>
        <w:tc>
          <w:tcPr>
            <w:tcW w:w="172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8C55C1" w14:textId="77777777" w:rsidR="00BD17E6" w:rsidRDefault="00000000">
            <w:pPr>
              <w:spacing w:after="0"/>
            </w:pPr>
            <w:r>
              <w:rPr>
                <w:sz w:val="16"/>
              </w:rPr>
              <w:t>Needs Revision</w:t>
            </w:r>
          </w:p>
        </w:tc>
        <w:tc>
          <w:tcPr>
            <w:tcW w:w="561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C2ABD3" w14:textId="77777777" w:rsidR="00BD17E6" w:rsidRDefault="00000000">
            <w:pPr>
              <w:spacing w:after="0"/>
            </w:pPr>
            <w:r>
              <w:rPr>
                <w:sz w:val="16"/>
              </w:rPr>
              <w:t>Full prompt logs, screen recordings, and a selfie are surveillance, not evidence — they expose private data, generate volume no instructor can read, and reveal no learning decision.</w:t>
            </w:r>
          </w:p>
        </w:tc>
      </w:tr>
      <w:tr w:rsidR="00BD17E6" w14:paraId="77FAB1D0" w14:textId="77777777">
        <w:tc>
          <w:tcPr>
            <w:tcW w:w="2016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D8A958" w14:textId="77777777" w:rsidR="00BD17E6" w:rsidRDefault="00000000">
            <w:pPr>
              <w:spacing w:after="0"/>
            </w:pPr>
            <w:r>
              <w:rPr>
                <w:b/>
                <w:color w:val="3B2360"/>
                <w:sz w:val="16"/>
              </w:rPr>
              <w:t>Equity and access</w:t>
            </w:r>
          </w:p>
        </w:tc>
        <w:tc>
          <w:tcPr>
            <w:tcW w:w="1728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E57B8B" w14:textId="77777777" w:rsidR="00BD17E6" w:rsidRDefault="00000000">
            <w:pPr>
              <w:spacing w:after="0"/>
            </w:pPr>
            <w:r>
              <w:rPr>
                <w:sz w:val="16"/>
              </w:rPr>
              <w:t>Needs Revision</w:t>
            </w:r>
          </w:p>
        </w:tc>
        <w:tc>
          <w:tcPr>
            <w:tcW w:w="5616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C176E2" w14:textId="77777777" w:rsidR="00BD17E6" w:rsidRDefault="00000000">
            <w:pPr>
              <w:spacing w:after="0"/>
            </w:pPr>
            <w:r>
              <w:rPr>
                <w:sz w:val="16"/>
              </w:rPr>
              <w:t>Screen recording and selfie requirements disadvantage students with limited devices, bandwidth, privacy constraints, or disabilities, and the detector flags multilingual writers.</w:t>
            </w:r>
          </w:p>
        </w:tc>
      </w:tr>
    </w:tbl>
    <w:p w14:paraId="67846030" w14:textId="77777777" w:rsidR="00BD17E6" w:rsidRDefault="00000000">
      <w:pPr>
        <w:spacing w:after="40"/>
      </w:pPr>
      <w:r>
        <w:rPr>
          <w:b/>
          <w:color w:val="00854F"/>
          <w:sz w:val="18"/>
        </w:rPr>
        <w:t xml:space="preserve">Strongest feature.  </w:t>
      </w:r>
      <w:r>
        <w:rPr>
          <w:sz w:val="18"/>
        </w:rPr>
        <w:t>The underlying wish — trustworthy evidence the student did the thinking — is legitimate and shared by the whole course; only the method is wrong.</w:t>
      </w:r>
    </w:p>
    <w:p w14:paraId="5C6AF35E" w14:textId="77777777" w:rsidR="00BD17E6" w:rsidRDefault="00000000">
      <w:pPr>
        <w:spacing w:after="40"/>
      </w:pPr>
      <w:r>
        <w:rPr>
          <w:b/>
          <w:color w:val="E74645"/>
          <w:sz w:val="18"/>
        </w:rPr>
        <w:t xml:space="preserve">Highest-priority revision.  </w:t>
      </w:r>
      <w:r>
        <w:rPr>
          <w:sz w:val="18"/>
        </w:rPr>
        <w:t>Drop all surveillance. Add one designed sanctuary: a 10-minute in-lab note explaining an anomalous result, on paper. It reveals the interpretive operation, costs almost nothing, exposes no data, and needs no detector.</w:t>
      </w:r>
    </w:p>
    <w:p w14:paraId="0E074680" w14:textId="77777777" w:rsidR="00BD17E6" w:rsidRDefault="00000000">
      <w:r>
        <w:rPr>
          <w:b/>
          <w:color w:val="6A4C92"/>
          <w:sz w:val="18"/>
        </w:rPr>
        <w:t xml:space="preserve">What a participant may mis-score, and why.  </w:t>
      </w:r>
      <w:r>
        <w:rPr>
          <w:sz w:val="18"/>
        </w:rPr>
        <w:t>Participants may reward the 'thoroughness' of the evidence and over-score Process evidence. The rubric treats surveillance and busywork as the failure case; more collection is not more evidence. Keep the weak sample from reading as a caricature: the selfie/recording impulse comes from real fear, not stupidity.</w:t>
      </w:r>
    </w:p>
    <w:sectPr w:rsidR="00BD17E6" w:rsidSect="00034616">
      <w:footerReference w:type="default" r:id="rId8"/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01F06" w14:textId="77777777" w:rsidR="008D2A5B" w:rsidRDefault="008D2A5B">
      <w:pPr>
        <w:spacing w:after="0" w:line="240" w:lineRule="auto"/>
      </w:pPr>
      <w:r>
        <w:separator/>
      </w:r>
    </w:p>
  </w:endnote>
  <w:endnote w:type="continuationSeparator" w:id="0">
    <w:p w14:paraId="53D7682C" w14:textId="77777777" w:rsidR="008D2A5B" w:rsidRDefault="008D2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BAF1E" w14:textId="77777777" w:rsidR="00BD17E6" w:rsidRDefault="00000000">
    <w:pPr>
      <w:pStyle w:val="Footer"/>
    </w:pPr>
    <w:r>
      <w:rPr>
        <w:color w:val="7C7B7C"/>
        <w:sz w:val="15"/>
      </w:rPr>
      <w:t>Teaching with AI · Module 4 · Redesigned Assignment Samples — STEWARD KEY</w:t>
    </w:r>
    <w:r>
      <w:rPr>
        <w:sz w:val="15"/>
      </w:rPr>
      <w:tab/>
    </w:r>
    <w:r>
      <w:rPr>
        <w:color w:val="7C7B7C"/>
        <w:sz w:val="15"/>
      </w:rPr>
      <w:fldChar w:fldCharType="begin"/>
    </w:r>
    <w:r>
      <w:rPr>
        <w:color w:val="7C7B7C"/>
        <w:sz w:val="15"/>
      </w:rPr>
      <w:instrText xml:space="preserve"> PAGE </w:instrText>
    </w:r>
    <w:r w:rsidR="00D43BDD">
      <w:rPr>
        <w:color w:val="7C7B7C"/>
        <w:sz w:val="15"/>
      </w:rPr>
      <w:fldChar w:fldCharType="separate"/>
    </w:r>
    <w:r w:rsidR="00D43BDD">
      <w:rPr>
        <w:noProof/>
        <w:color w:val="7C7B7C"/>
        <w:sz w:val="15"/>
      </w:rPr>
      <w:t>1</w:t>
    </w:r>
    <w:r>
      <w:rPr>
        <w:color w:val="7C7B7C"/>
        <w:sz w:val="15"/>
      </w:rPr>
      <w:fldChar w:fldCharType="end"/>
    </w:r>
    <w:r>
      <w:rPr>
        <w:color w:val="7C7B7C"/>
        <w:sz w:val="15"/>
      </w:rPr>
      <w:t xml:space="preserve"> of </w:t>
    </w:r>
    <w:r>
      <w:rPr>
        <w:color w:val="7C7B7C"/>
        <w:sz w:val="15"/>
      </w:rPr>
      <w:fldChar w:fldCharType="begin"/>
    </w:r>
    <w:r>
      <w:rPr>
        <w:color w:val="7C7B7C"/>
        <w:sz w:val="15"/>
      </w:rPr>
      <w:instrText xml:space="preserve"> NUMPAGES </w:instrText>
    </w:r>
    <w:r w:rsidR="00D43BDD">
      <w:rPr>
        <w:color w:val="7C7B7C"/>
        <w:sz w:val="15"/>
      </w:rPr>
      <w:fldChar w:fldCharType="separate"/>
    </w:r>
    <w:r w:rsidR="00D43BDD">
      <w:rPr>
        <w:noProof/>
        <w:color w:val="7C7B7C"/>
        <w:sz w:val="15"/>
      </w:rPr>
      <w:t>2</w:t>
    </w:r>
    <w:r>
      <w:rPr>
        <w:color w:val="7C7B7C"/>
        <w:sz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7BF5F" w14:textId="77777777" w:rsidR="008D2A5B" w:rsidRDefault="008D2A5B">
      <w:pPr>
        <w:spacing w:after="0" w:line="240" w:lineRule="auto"/>
      </w:pPr>
      <w:r>
        <w:separator/>
      </w:r>
    </w:p>
  </w:footnote>
  <w:footnote w:type="continuationSeparator" w:id="0">
    <w:p w14:paraId="103F6065" w14:textId="77777777" w:rsidR="008D2A5B" w:rsidRDefault="008D2A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03135965">
    <w:abstractNumId w:val="8"/>
  </w:num>
  <w:num w:numId="2" w16cid:durableId="1578632603">
    <w:abstractNumId w:val="6"/>
  </w:num>
  <w:num w:numId="3" w16cid:durableId="1967655305">
    <w:abstractNumId w:val="5"/>
  </w:num>
  <w:num w:numId="4" w16cid:durableId="443503711">
    <w:abstractNumId w:val="4"/>
  </w:num>
  <w:num w:numId="5" w16cid:durableId="1819419231">
    <w:abstractNumId w:val="7"/>
  </w:num>
  <w:num w:numId="6" w16cid:durableId="1975522112">
    <w:abstractNumId w:val="3"/>
  </w:num>
  <w:num w:numId="7" w16cid:durableId="185367294">
    <w:abstractNumId w:val="2"/>
  </w:num>
  <w:num w:numId="8" w16cid:durableId="2099132460">
    <w:abstractNumId w:val="1"/>
  </w:num>
  <w:num w:numId="9" w16cid:durableId="500392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8D2A5B"/>
    <w:rsid w:val="00AA1D8D"/>
    <w:rsid w:val="00B47730"/>
    <w:rsid w:val="00BD17E6"/>
    <w:rsid w:val="00CB0664"/>
    <w:rsid w:val="00CC22A7"/>
    <w:rsid w:val="00D43BD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753DAB7"/>
  <w14:defaultImageDpi w14:val="300"/>
  <w15:docId w15:val="{E3F248E4-7A9C-4D50-B8AB-9E7B7E9C8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ptos" w:hAnsi="Aptos" w:cs="Aptos"/>
      <w:color w:val="1A1A1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b/>
      <w:bCs/>
      <w:color w:val="3B2360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80"/>
      <w:outlineLvl w:val="1"/>
    </w:pPr>
    <w:rPr>
      <w:rFonts w:asciiTheme="majorHAnsi" w:eastAsiaTheme="majorEastAsia" w:hAnsiTheme="majorHAnsi" w:cstheme="majorBidi"/>
      <w:b/>
      <w:bCs/>
      <w:color w:val="3B2360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b/>
      <w:bCs/>
      <w:color w:val="6A4C92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741</Words>
  <Characters>4227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4959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Garcia, John</dc:creator>
  <cp:keywords/>
  <cp:lastModifiedBy>Garcia, John</cp:lastModifiedBy>
  <cp:revision>2</cp:revision>
  <dcterms:created xsi:type="dcterms:W3CDTF">2013-12-23T23:15:00Z</dcterms:created>
  <dcterms:modified xsi:type="dcterms:W3CDTF">2026-06-11T15:00:00Z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74180c3e-9298-4e54-a673-bd6a7faa1444</vt:lpwstr>
  </property>
</Properties>
</file>