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CC325" w14:textId="77777777" w:rsidR="00F61A2C" w:rsidRDefault="00000000">
      <w:pPr>
        <w:shd w:val="clear" w:color="auto" w:fill="3B2360"/>
        <w:spacing w:after="40"/>
      </w:pPr>
      <w:r>
        <w:rPr>
          <w:rFonts w:ascii="Aptos Display" w:hAnsi="Aptos Display"/>
          <w:b/>
          <w:color w:val="FFC222"/>
          <w:sz w:val="20"/>
        </w:rPr>
        <w:t xml:space="preserve">  TEACHING WITH ARTIFICIAL INTELLIGENCE</w:t>
      </w:r>
      <w:r>
        <w:rPr>
          <w:b/>
          <w:color w:val="E8DCB0"/>
          <w:sz w:val="16"/>
        </w:rPr>
        <w:t xml:space="preserve">    ·    REFERENCE CARD</w:t>
      </w:r>
    </w:p>
    <w:p w14:paraId="1B5725A8" w14:textId="7AD90B9B" w:rsidR="00F61A2C" w:rsidRDefault="00000000">
      <w:pPr>
        <w:spacing w:before="60" w:after="20"/>
      </w:pPr>
      <w:r>
        <w:rPr>
          <w:rFonts w:ascii="Aptos Display" w:hAnsi="Aptos Display"/>
          <w:b/>
          <w:color w:val="3B2360"/>
          <w:sz w:val="36"/>
        </w:rPr>
        <w:t>Capability Drift Watchlist</w:t>
      </w:r>
      <w:r w:rsidR="00BD31E1">
        <w:rPr>
          <w:rFonts w:ascii="Aptos Display" w:hAnsi="Aptos Display"/>
          <w:b/>
          <w:color w:val="3B2360"/>
          <w:sz w:val="36"/>
        </w:rPr>
        <w:t xml:space="preserve"> </w:t>
      </w:r>
    </w:p>
    <w:p w14:paraId="794C4EE2" w14:textId="77777777" w:rsidR="00F61A2C" w:rsidRDefault="00F61A2C">
      <w:pPr>
        <w:pBdr>
          <w:bottom w:val="single" w:sz="24" w:space="1" w:color="FFC222"/>
        </w:pBdr>
      </w:pPr>
    </w:p>
    <w:p w14:paraId="7F7B1E6C" w14:textId="77777777" w:rsidR="00F61A2C" w:rsidRDefault="00000000">
      <w:pPr>
        <w:spacing w:after="160"/>
      </w:pPr>
      <w:r>
        <w:rPr>
          <w:i/>
          <w:color w:val="7C7B7C"/>
          <w:sz w:val="21"/>
        </w:rPr>
        <w:t>A traffic-light reference: what ages fast, what is durable, and what to do. Front: the three categories with examples from each module. Back: the heuristics and budget.</w:t>
      </w:r>
    </w:p>
    <w:tbl>
      <w:tblPr>
        <w:tblW w:w="0" w:type="auto"/>
        <w:tblBorders>
          <w:top w:val="single" w:sz="4" w:space="0" w:color="C9C4D6"/>
          <w:left w:val="single" w:sz="4" w:space="0" w:color="C9C4D6"/>
          <w:bottom w:val="single" w:sz="4" w:space="0" w:color="C9C4D6"/>
          <w:right w:val="single" w:sz="4" w:space="0" w:color="C9C4D6"/>
          <w:insideH w:val="single" w:sz="4" w:space="0" w:color="C9C4D6"/>
          <w:insideV w:val="single" w:sz="4" w:space="0" w:color="C9C4D6"/>
        </w:tblBorders>
        <w:tblLayout w:type="fixed"/>
        <w:tblLook w:val="04A0" w:firstRow="1" w:lastRow="0" w:firstColumn="1" w:lastColumn="0" w:noHBand="0" w:noVBand="1"/>
      </w:tblPr>
      <w:tblGrid>
        <w:gridCol w:w="1728"/>
        <w:gridCol w:w="3744"/>
        <w:gridCol w:w="2016"/>
        <w:gridCol w:w="1872"/>
      </w:tblGrid>
      <w:tr w:rsidR="00F61A2C" w14:paraId="2D21801C" w14:textId="77777777">
        <w:trPr>
          <w:tblHeader/>
        </w:trPr>
        <w:tc>
          <w:tcPr>
            <w:tcW w:w="1728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14B0BD9" w14:textId="77777777" w:rsidR="00F61A2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Category</w:t>
            </w:r>
          </w:p>
        </w:tc>
        <w:tc>
          <w:tcPr>
            <w:tcW w:w="3744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7124BFD" w14:textId="77777777" w:rsidR="00F61A2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What it includes (examples from each module)</w:t>
            </w:r>
          </w:p>
        </w:tc>
        <w:tc>
          <w:tcPr>
            <w:tcW w:w="2016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3F9FFAE" w14:textId="77777777" w:rsidR="00F61A2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What to look for</w:t>
            </w:r>
          </w:p>
        </w:tc>
        <w:tc>
          <w:tcPr>
            <w:tcW w:w="1872" w:type="dxa"/>
            <w:shd w:val="clear" w:color="auto" w:fill="3B236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D276BA" w14:textId="77777777" w:rsidR="00F61A2C" w:rsidRDefault="00000000">
            <w:pPr>
              <w:spacing w:after="0"/>
            </w:pPr>
            <w:r>
              <w:rPr>
                <w:b/>
                <w:color w:val="FFFFFF"/>
                <w:sz w:val="16"/>
              </w:rPr>
              <w:t>What to do</w:t>
            </w:r>
          </w:p>
        </w:tc>
      </w:tr>
      <w:tr w:rsidR="00F61A2C" w14:paraId="4B55C917" w14:textId="77777777"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93C7109" w14:textId="77777777" w:rsidR="00F61A2C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High-drift (red)</w:t>
            </w:r>
          </w:p>
        </w:tc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EC94F52" w14:textId="77777777" w:rsidR="00F61A2C" w:rsidRDefault="00000000">
            <w:pPr>
              <w:spacing w:after="0"/>
            </w:pPr>
            <w:r>
              <w:rPr>
                <w:sz w:val="16"/>
              </w:rPr>
              <w:t>Tool names; free-vs-paid comparisons; detection claims (M5); any “AI can/cannot do X” example (M1–M4).</w:t>
            </w:r>
          </w:p>
        </w:tc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BF4C9BE" w14:textId="77777777" w:rsidR="00F61A2C" w:rsidRDefault="00000000">
            <w:pPr>
              <w:spacing w:after="0"/>
            </w:pPr>
            <w:r>
              <w:rPr>
                <w:sz w:val="16"/>
              </w:rPr>
              <w:t>Has a new model changed what the example assumes? Is the access tier still accurate?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8EC4667" w14:textId="77777777" w:rsidR="00F61A2C" w:rsidRDefault="00000000">
            <w:pPr>
              <w:spacing w:after="0"/>
            </w:pPr>
            <w:r>
              <w:rPr>
                <w:sz w:val="16"/>
              </w:rPr>
              <w:t>Reverify, rewrite durably, or remove. Review after a trigger or every six months.</w:t>
            </w:r>
          </w:p>
        </w:tc>
      </w:tr>
      <w:tr w:rsidR="00F61A2C" w14:paraId="2E3948EA" w14:textId="77777777">
        <w:tc>
          <w:tcPr>
            <w:tcW w:w="1728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1051DF" w14:textId="77777777" w:rsidR="00F61A2C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Moderate-drift (yellow)</w:t>
            </w:r>
          </w:p>
        </w:tc>
        <w:tc>
          <w:tcPr>
            <w:tcW w:w="3744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219BAC" w14:textId="77777777" w:rsidR="00F61A2C" w:rsidRDefault="00000000">
            <w:pPr>
              <w:spacing w:after="0"/>
            </w:pPr>
            <w:r>
              <w:rPr>
                <w:sz w:val="16"/>
              </w:rPr>
              <w:t>Local AIAS vocabulary (M3); policy language tied to institutional contracts (M5).</w:t>
            </w:r>
          </w:p>
        </w:tc>
        <w:tc>
          <w:tcPr>
            <w:tcW w:w="2016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5DF025" w14:textId="77777777" w:rsidR="00F61A2C" w:rsidRDefault="00000000">
            <w:pPr>
              <w:spacing w:after="0"/>
            </w:pPr>
            <w:r>
              <w:rPr>
                <w:sz w:val="16"/>
              </w:rPr>
              <w:t>Has institutional guidance or your AIAS labels shifted?</w:t>
            </w:r>
          </w:p>
        </w:tc>
        <w:tc>
          <w:tcPr>
            <w:tcW w:w="1872" w:type="dxa"/>
            <w:shd w:val="clear" w:color="auto" w:fill="F7F6F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D2B368" w14:textId="77777777" w:rsidR="00F61A2C" w:rsidRDefault="00000000">
            <w:pPr>
              <w:spacing w:after="0"/>
            </w:pPr>
            <w:r>
              <w:rPr>
                <w:sz w:val="16"/>
              </w:rPr>
              <w:t>Review when a related trigger occurs; not maintenance-free.</w:t>
            </w:r>
          </w:p>
        </w:tc>
      </w:tr>
      <w:tr w:rsidR="00F61A2C" w14:paraId="48776959" w14:textId="77777777">
        <w:tc>
          <w:tcPr>
            <w:tcW w:w="172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F1252" w14:textId="77777777" w:rsidR="00F61A2C" w:rsidRDefault="00000000">
            <w:pPr>
              <w:spacing w:after="0"/>
            </w:pPr>
            <w:r>
              <w:rPr>
                <w:b/>
                <w:color w:val="3B2360"/>
                <w:sz w:val="16"/>
              </w:rPr>
              <w:t>Stable (green)</w:t>
            </w:r>
          </w:p>
        </w:tc>
        <w:tc>
          <w:tcPr>
            <w:tcW w:w="3744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55ECCE9" w14:textId="77777777" w:rsidR="00F61A2C" w:rsidRDefault="00000000">
            <w:pPr>
              <w:spacing w:after="0"/>
            </w:pPr>
            <w:r>
              <w:rPr>
                <w:sz w:val="16"/>
              </w:rPr>
              <w:t>TILT; AIAS as a concept; post-plagiarism; the Safety Gap; the productive-struggle distinction.</w:t>
            </w:r>
          </w:p>
        </w:tc>
        <w:tc>
          <w:tcPr>
            <w:tcW w:w="2016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E7E535" w14:textId="77777777" w:rsidR="00F61A2C" w:rsidRDefault="00000000">
            <w:pPr>
              <w:spacing w:after="0"/>
            </w:pPr>
            <w:r>
              <w:rPr>
                <w:sz w:val="16"/>
              </w:rPr>
              <w:t>These help you reason even as tools change.</w:t>
            </w:r>
          </w:p>
        </w:tc>
        <w:tc>
          <w:tcPr>
            <w:tcW w:w="1872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B50DE92" w14:textId="77777777" w:rsidR="00F61A2C" w:rsidRDefault="00000000">
            <w:pPr>
              <w:spacing w:after="0"/>
            </w:pPr>
            <w:r>
              <w:rPr>
                <w:sz w:val="16"/>
              </w:rPr>
              <w:t>Slower review cycle (about annual).</w:t>
            </w:r>
          </w:p>
        </w:tc>
      </w:tr>
    </w:tbl>
    <w:p w14:paraId="28114643" w14:textId="77777777" w:rsidR="00F61A2C" w:rsidRDefault="00000000">
      <w:pPr>
        <w:pStyle w:val="Heading1"/>
        <w:pageBreakBefore/>
      </w:pPr>
      <w:r>
        <w:lastRenderedPageBreak/>
        <w:t>Back of card — heuristics and budget</w:t>
      </w:r>
    </w:p>
    <w:p w14:paraId="39C14465" w14:textId="77777777" w:rsidR="00F61A2C" w:rsidRDefault="00000000">
      <w:pPr>
        <w:pBdr>
          <w:left w:val="single" w:sz="16" w:space="6" w:color="FFC222"/>
        </w:pBdr>
        <w:shd w:val="clear" w:color="auto" w:fill="FFF4D6"/>
        <w:spacing w:before="60" w:after="140"/>
      </w:pPr>
      <w:r>
        <w:rPr>
          <w:b/>
          <w:color w:val="3B2360"/>
          <w:sz w:val="20"/>
        </w:rPr>
        <w:t xml:space="preserve">Two-trigger heuristic:  </w:t>
      </w:r>
      <w:r>
        <w:rPr>
          <w:sz w:val="20"/>
        </w:rPr>
        <w:t>Schedule a revisit when two or more triggers occur (major model release · institutional policy change · a student question/violation revealing a gap · end of semester · department conversation).</w:t>
      </w:r>
    </w:p>
    <w:p w14:paraId="4669982E" w14:textId="77777777" w:rsidR="00F61A2C" w:rsidRDefault="00000000">
      <w:pPr>
        <w:pBdr>
          <w:left w:val="single" w:sz="16" w:space="6" w:color="E74645"/>
        </w:pBdr>
        <w:shd w:val="clear" w:color="auto" w:fill="FBE3E3"/>
        <w:spacing w:before="60" w:after="140"/>
      </w:pPr>
      <w:r>
        <w:rPr>
          <w:b/>
          <w:color w:val="E74645"/>
          <w:sz w:val="20"/>
        </w:rPr>
        <w:t xml:space="preserve">Immediate-review override:  </w:t>
      </w:r>
      <w:r>
        <w:rPr>
          <w:sz w:val="20"/>
        </w:rPr>
        <w:t>Revisit immediately after an institutional policy, privacy, security, or accessibility change — do not wait for a second trigger.</w:t>
      </w:r>
    </w:p>
    <w:p w14:paraId="5BFFED1C" w14:textId="77777777" w:rsidR="00F61A2C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 xml:space="preserve">30-minute-action rule:  </w:t>
      </w:r>
      <w:r>
        <w:rPr>
          <w:sz w:val="20"/>
        </w:rPr>
        <w:t>Ordinary maintenance is small: re-run one Stress Test question, revise one paragraph, or update one example. If a routine action keeps running past 30 minutes, the design may be over-engineered.</w:t>
      </w:r>
    </w:p>
    <w:p w14:paraId="04382132" w14:textId="77777777" w:rsidR="00F61A2C" w:rsidRDefault="00000000">
      <w:pPr>
        <w:pBdr>
          <w:left w:val="single" w:sz="16" w:space="6" w:color="3B2360"/>
        </w:pBdr>
        <w:shd w:val="clear" w:color="auto" w:fill="ECE7F2"/>
        <w:spacing w:before="60" w:after="140"/>
      </w:pPr>
      <w:r>
        <w:rPr>
          <w:b/>
          <w:color w:val="3B2360"/>
          <w:sz w:val="20"/>
        </w:rPr>
        <w:t xml:space="preserve">90-minute-per-semester budget:  </w:t>
      </w:r>
      <w:r>
        <w:rPr>
          <w:sz w:val="20"/>
        </w:rPr>
        <w:t>Aim for a 90-minute maintenance block each semester and schedule the next one now. If maintenance repeatedly exceeds it, simplify the design or clarify ownership.</w:t>
      </w:r>
    </w:p>
    <w:p w14:paraId="785E1C5B" w14:textId="77777777" w:rsidR="00F61A2C" w:rsidRDefault="00000000">
      <w:pPr>
        <w:pBdr>
          <w:left w:val="single" w:sz="16" w:space="6" w:color="7C7B7C"/>
        </w:pBdr>
        <w:shd w:val="clear" w:color="auto" w:fill="EFEFEF"/>
        <w:spacing w:before="60" w:after="140"/>
      </w:pPr>
      <w:r>
        <w:rPr>
          <w:b/>
          <w:color w:val="7C7B7C"/>
          <w:sz w:val="20"/>
        </w:rPr>
        <w:t xml:space="preserve">Stale Example Audit:  </w:t>
      </w:r>
      <w:r>
        <w:rPr>
          <w:sz w:val="20"/>
        </w:rPr>
        <w:t>Find every concrete AI-capability claim, check its vintage stamp, and reverify / rewrite / remove. High-drift after a trigger or every six months; lower-drift annually.</w:t>
      </w:r>
    </w:p>
    <w:sectPr w:rsidR="00F61A2C" w:rsidSect="00034616">
      <w:footerReference w:type="default" r:id="rId8"/>
      <w:pgSz w:w="12240" w:h="15840"/>
      <w:pgMar w:top="1296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EAEFF" w14:textId="77777777" w:rsidR="005B1549" w:rsidRDefault="005B1549">
      <w:pPr>
        <w:spacing w:after="0" w:line="240" w:lineRule="auto"/>
      </w:pPr>
      <w:r>
        <w:separator/>
      </w:r>
    </w:p>
  </w:endnote>
  <w:endnote w:type="continuationSeparator" w:id="0">
    <w:p w14:paraId="54918907" w14:textId="77777777" w:rsidR="005B1549" w:rsidRDefault="005B1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30E33" w14:textId="77777777" w:rsidR="00F61A2C" w:rsidRDefault="00000000">
    <w:pPr>
      <w:pStyle w:val="Footer"/>
    </w:pPr>
    <w:r>
      <w:rPr>
        <w:color w:val="7C7B7C"/>
        <w:sz w:val="15"/>
      </w:rPr>
      <w:t>Teaching with AI · Module 6 · Capability Drift Watchlist | Reference | Source: Lecture 6.3</w:t>
    </w:r>
    <w:r>
      <w:rPr>
        <w:sz w:val="15"/>
      </w:rPr>
      <w:tab/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PAGE </w:instrText>
    </w:r>
    <w:r w:rsidR="00BD31E1">
      <w:rPr>
        <w:color w:val="7C7B7C"/>
        <w:sz w:val="15"/>
      </w:rPr>
      <w:fldChar w:fldCharType="separate"/>
    </w:r>
    <w:r w:rsidR="00BD31E1">
      <w:rPr>
        <w:noProof/>
        <w:color w:val="7C7B7C"/>
        <w:sz w:val="15"/>
      </w:rPr>
      <w:t>1</w:t>
    </w:r>
    <w:r>
      <w:rPr>
        <w:color w:val="7C7B7C"/>
        <w:sz w:val="15"/>
      </w:rPr>
      <w:fldChar w:fldCharType="end"/>
    </w:r>
    <w:r>
      <w:rPr>
        <w:color w:val="7C7B7C"/>
        <w:sz w:val="15"/>
      </w:rPr>
      <w:t xml:space="preserve"> of </w:t>
    </w:r>
    <w:r>
      <w:rPr>
        <w:color w:val="7C7B7C"/>
        <w:sz w:val="15"/>
      </w:rPr>
      <w:fldChar w:fldCharType="begin"/>
    </w:r>
    <w:r>
      <w:rPr>
        <w:color w:val="7C7B7C"/>
        <w:sz w:val="15"/>
      </w:rPr>
      <w:instrText xml:space="preserve"> NUMPAGES </w:instrText>
    </w:r>
    <w:r w:rsidR="00BD31E1">
      <w:rPr>
        <w:color w:val="7C7B7C"/>
        <w:sz w:val="15"/>
      </w:rPr>
      <w:fldChar w:fldCharType="separate"/>
    </w:r>
    <w:r w:rsidR="00BD31E1">
      <w:rPr>
        <w:noProof/>
        <w:color w:val="7C7B7C"/>
        <w:sz w:val="15"/>
      </w:rPr>
      <w:t>2</w:t>
    </w:r>
    <w:r>
      <w:rPr>
        <w:color w:val="7C7B7C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2201D" w14:textId="77777777" w:rsidR="005B1549" w:rsidRDefault="005B1549">
      <w:pPr>
        <w:spacing w:after="0" w:line="240" w:lineRule="auto"/>
      </w:pPr>
      <w:r>
        <w:separator/>
      </w:r>
    </w:p>
  </w:footnote>
  <w:footnote w:type="continuationSeparator" w:id="0">
    <w:p w14:paraId="3BDEEF8C" w14:textId="77777777" w:rsidR="005B1549" w:rsidRDefault="005B1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7369799">
    <w:abstractNumId w:val="8"/>
  </w:num>
  <w:num w:numId="2" w16cid:durableId="1834954853">
    <w:abstractNumId w:val="6"/>
  </w:num>
  <w:num w:numId="3" w16cid:durableId="54202187">
    <w:abstractNumId w:val="5"/>
  </w:num>
  <w:num w:numId="4" w16cid:durableId="1603609785">
    <w:abstractNumId w:val="4"/>
  </w:num>
  <w:num w:numId="5" w16cid:durableId="1149983107">
    <w:abstractNumId w:val="7"/>
  </w:num>
  <w:num w:numId="6" w16cid:durableId="1789470793">
    <w:abstractNumId w:val="3"/>
  </w:num>
  <w:num w:numId="7" w16cid:durableId="1463962720">
    <w:abstractNumId w:val="2"/>
  </w:num>
  <w:num w:numId="8" w16cid:durableId="664624376">
    <w:abstractNumId w:val="1"/>
  </w:num>
  <w:num w:numId="9" w16cid:durableId="745996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B1549"/>
    <w:rsid w:val="00AA1D8D"/>
    <w:rsid w:val="00B47730"/>
    <w:rsid w:val="00BD31E1"/>
    <w:rsid w:val="00CB0664"/>
    <w:rsid w:val="00CC22A7"/>
    <w:rsid w:val="00F61A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7C820B"/>
  <w14:defaultImageDpi w14:val="300"/>
  <w15:docId w15:val="{E3F248E4-7A9C-4D50-B8AB-9E7B7E9C8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 w:cs="Aptos"/>
      <w:color w:val="1A1A1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b/>
      <w:bCs/>
      <w:color w:val="3B236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80"/>
      <w:outlineLvl w:val="1"/>
    </w:pPr>
    <w:rPr>
      <w:rFonts w:asciiTheme="majorHAnsi" w:eastAsiaTheme="majorEastAsia" w:hAnsiTheme="majorHAnsi" w:cstheme="majorBidi"/>
      <w:b/>
      <w:bCs/>
      <w:color w:val="3B2360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6A4C92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John</dc:creator>
  <cp:keywords/>
  <cp:lastModifiedBy>Garcia, John</cp:lastModifiedBy>
  <cp:revision>2</cp:revision>
  <dcterms:created xsi:type="dcterms:W3CDTF">2013-12-23T23:15:00Z</dcterms:created>
  <dcterms:modified xsi:type="dcterms:W3CDTF">2026-06-11T15:09:00Z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5f4e9b4d-9cf7-4cc2-8d5a-d525ecb18e31</vt:lpwstr>
  </property>
</Properties>
</file>